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5DA" w:rsidRDefault="001145DA" w:rsidP="002B6147">
      <w:pPr>
        <w:widowControl/>
        <w:tabs>
          <w:tab w:val="center" w:pos="4680"/>
        </w:tabs>
        <w:jc w:val="center"/>
        <w:rPr>
          <w:szCs w:val="22"/>
        </w:rPr>
      </w:pPr>
      <w:bookmarkStart w:id="0" w:name="_GoBack"/>
      <w:bookmarkEnd w:id="0"/>
      <w:r>
        <w:rPr>
          <w:b/>
          <w:bCs/>
          <w:szCs w:val="22"/>
        </w:rPr>
        <w:t>SOAH DOCKET NO. 473-14-</w:t>
      </w:r>
      <w:r w:rsidR="0003484C">
        <w:rPr>
          <w:b/>
          <w:bCs/>
          <w:szCs w:val="22"/>
        </w:rPr>
        <w:t>5140</w:t>
      </w:r>
      <w:r w:rsidR="00BB0BF4">
        <w:rPr>
          <w:b/>
          <w:bCs/>
          <w:szCs w:val="22"/>
        </w:rPr>
        <w:t>.WS</w:t>
      </w:r>
    </w:p>
    <w:p w:rsidR="007359EF" w:rsidRDefault="001145DA" w:rsidP="001631ED">
      <w:pPr>
        <w:widowControl/>
        <w:tabs>
          <w:tab w:val="center" w:pos="4680"/>
        </w:tabs>
        <w:jc w:val="center"/>
        <w:rPr>
          <w:b/>
          <w:bCs/>
          <w:szCs w:val="22"/>
        </w:rPr>
      </w:pPr>
      <w:r>
        <w:rPr>
          <w:b/>
          <w:bCs/>
          <w:szCs w:val="22"/>
        </w:rPr>
        <w:t>PUC</w:t>
      </w:r>
      <w:r w:rsidR="00D36A5D">
        <w:rPr>
          <w:b/>
          <w:bCs/>
          <w:szCs w:val="22"/>
        </w:rPr>
        <w:t xml:space="preserve"> DOCKET NO. </w:t>
      </w:r>
      <w:r w:rsidR="0003484C">
        <w:rPr>
          <w:b/>
          <w:bCs/>
          <w:szCs w:val="22"/>
        </w:rPr>
        <w:t>42860</w:t>
      </w:r>
    </w:p>
    <w:p w:rsidR="005543B0" w:rsidRDefault="005543B0" w:rsidP="001631ED">
      <w:pPr>
        <w:widowControl/>
        <w:tabs>
          <w:tab w:val="center" w:pos="4680"/>
        </w:tabs>
        <w:spacing w:line="360" w:lineRule="auto"/>
        <w:rPr>
          <w:b/>
          <w:bCs/>
          <w:szCs w:val="22"/>
        </w:rPr>
      </w:pPr>
    </w:p>
    <w:tbl>
      <w:tblPr>
        <w:tblW w:w="0" w:type="auto"/>
        <w:tblLook w:val="01E0" w:firstRow="1" w:lastRow="1" w:firstColumn="1" w:lastColumn="1" w:noHBand="0" w:noVBand="0"/>
      </w:tblPr>
      <w:tblGrid>
        <w:gridCol w:w="4608"/>
        <w:gridCol w:w="450"/>
        <w:gridCol w:w="4518"/>
      </w:tblGrid>
      <w:tr w:rsidR="007359EF" w:rsidRPr="00314A1A" w:rsidTr="00314A1A">
        <w:tc>
          <w:tcPr>
            <w:tcW w:w="4608" w:type="dxa"/>
            <w:shd w:val="clear" w:color="auto" w:fill="auto"/>
          </w:tcPr>
          <w:p w:rsidR="0003484C" w:rsidRDefault="0003484C" w:rsidP="00AF1BC5">
            <w:pPr>
              <w:rPr>
                <w:b/>
                <w:bCs/>
                <w:szCs w:val="22"/>
              </w:rPr>
            </w:pPr>
            <w:r w:rsidRPr="00314A1A">
              <w:rPr>
                <w:b/>
                <w:bCs/>
                <w:szCs w:val="22"/>
              </w:rPr>
              <w:t xml:space="preserve">APPLICATION OF </w:t>
            </w:r>
            <w:r w:rsidR="00207AE6">
              <w:rPr>
                <w:b/>
                <w:bCs/>
                <w:szCs w:val="22"/>
              </w:rPr>
              <w:t>D</w:t>
            </w:r>
            <w:r w:rsidR="009C5224">
              <w:rPr>
                <w:b/>
                <w:bCs/>
                <w:szCs w:val="22"/>
              </w:rPr>
              <w:t>OUGLAS</w:t>
            </w:r>
            <w:r>
              <w:rPr>
                <w:b/>
                <w:bCs/>
                <w:szCs w:val="22"/>
              </w:rPr>
              <w:t xml:space="preserve"> UTILITY COMPANY </w:t>
            </w:r>
            <w:r w:rsidRPr="00314A1A">
              <w:rPr>
                <w:b/>
                <w:bCs/>
                <w:szCs w:val="22"/>
              </w:rPr>
              <w:t xml:space="preserve">TO CHANGE WATER </w:t>
            </w:r>
            <w:r>
              <w:rPr>
                <w:b/>
                <w:bCs/>
                <w:szCs w:val="22"/>
              </w:rPr>
              <w:t xml:space="preserve">AND SEWER RATE/TARIFF </w:t>
            </w:r>
            <w:r w:rsidRPr="00314A1A">
              <w:rPr>
                <w:b/>
                <w:bCs/>
                <w:szCs w:val="22"/>
              </w:rPr>
              <w:t xml:space="preserve"> IN HARRIS </w:t>
            </w:r>
            <w:r>
              <w:rPr>
                <w:b/>
                <w:bCs/>
                <w:szCs w:val="22"/>
              </w:rPr>
              <w:t>COUNTY, TEXAS</w:t>
            </w:r>
          </w:p>
          <w:p w:rsidR="007359EF" w:rsidRPr="00314A1A" w:rsidRDefault="007359EF" w:rsidP="00AF1BC5">
            <w:pPr>
              <w:widowControl/>
              <w:rPr>
                <w:b/>
                <w:bCs/>
                <w:szCs w:val="22"/>
              </w:rPr>
            </w:pPr>
          </w:p>
        </w:tc>
        <w:tc>
          <w:tcPr>
            <w:tcW w:w="450" w:type="dxa"/>
            <w:shd w:val="clear" w:color="auto" w:fill="auto"/>
          </w:tcPr>
          <w:p w:rsidR="007359EF" w:rsidRPr="00314A1A" w:rsidRDefault="007359EF" w:rsidP="00AF1BC5">
            <w:pPr>
              <w:widowControl/>
              <w:jc w:val="center"/>
              <w:rPr>
                <w:b/>
                <w:bCs/>
                <w:szCs w:val="22"/>
              </w:rPr>
            </w:pPr>
            <w:r w:rsidRPr="00314A1A">
              <w:rPr>
                <w:b/>
                <w:bCs/>
                <w:szCs w:val="22"/>
              </w:rPr>
              <w:t>§</w:t>
            </w:r>
          </w:p>
          <w:p w:rsidR="007359EF" w:rsidRPr="00314A1A" w:rsidRDefault="007359EF" w:rsidP="00AF1BC5">
            <w:pPr>
              <w:widowControl/>
              <w:jc w:val="center"/>
              <w:rPr>
                <w:b/>
                <w:bCs/>
                <w:szCs w:val="22"/>
              </w:rPr>
            </w:pPr>
            <w:r w:rsidRPr="00314A1A">
              <w:rPr>
                <w:b/>
                <w:bCs/>
                <w:szCs w:val="22"/>
              </w:rPr>
              <w:t>§</w:t>
            </w:r>
          </w:p>
          <w:p w:rsidR="007359EF" w:rsidRPr="00314A1A" w:rsidRDefault="007359EF" w:rsidP="00AF1BC5">
            <w:pPr>
              <w:widowControl/>
              <w:jc w:val="center"/>
              <w:rPr>
                <w:b/>
                <w:bCs/>
                <w:szCs w:val="22"/>
              </w:rPr>
            </w:pPr>
            <w:r w:rsidRPr="00314A1A">
              <w:rPr>
                <w:b/>
                <w:bCs/>
                <w:szCs w:val="22"/>
              </w:rPr>
              <w:t>§</w:t>
            </w:r>
          </w:p>
          <w:p w:rsidR="007359EF" w:rsidRPr="00314A1A" w:rsidRDefault="007359EF" w:rsidP="00AF1BC5">
            <w:pPr>
              <w:widowControl/>
              <w:jc w:val="center"/>
              <w:rPr>
                <w:b/>
                <w:bCs/>
                <w:szCs w:val="22"/>
              </w:rPr>
            </w:pPr>
            <w:r w:rsidRPr="00314A1A">
              <w:rPr>
                <w:b/>
                <w:bCs/>
                <w:szCs w:val="22"/>
              </w:rPr>
              <w:t>§</w:t>
            </w:r>
          </w:p>
          <w:p w:rsidR="007359EF" w:rsidRPr="00314A1A" w:rsidRDefault="007359EF" w:rsidP="00AF1BC5">
            <w:pPr>
              <w:widowControl/>
              <w:jc w:val="center"/>
              <w:rPr>
                <w:b/>
                <w:bCs/>
                <w:szCs w:val="22"/>
              </w:rPr>
            </w:pPr>
            <w:r w:rsidRPr="00314A1A">
              <w:rPr>
                <w:b/>
                <w:bCs/>
                <w:szCs w:val="22"/>
              </w:rPr>
              <w:t>§</w:t>
            </w:r>
          </w:p>
        </w:tc>
        <w:tc>
          <w:tcPr>
            <w:tcW w:w="4518" w:type="dxa"/>
            <w:shd w:val="clear" w:color="auto" w:fill="auto"/>
          </w:tcPr>
          <w:p w:rsidR="007359EF" w:rsidRPr="00314A1A" w:rsidRDefault="007359EF" w:rsidP="00AF1BC5">
            <w:pPr>
              <w:widowControl/>
              <w:jc w:val="center"/>
              <w:rPr>
                <w:b/>
                <w:bCs/>
                <w:szCs w:val="22"/>
              </w:rPr>
            </w:pPr>
            <w:r w:rsidRPr="00314A1A">
              <w:rPr>
                <w:b/>
                <w:bCs/>
                <w:szCs w:val="22"/>
              </w:rPr>
              <w:t>BEFORE THE STATE OFFICE</w:t>
            </w:r>
          </w:p>
          <w:p w:rsidR="007359EF" w:rsidRDefault="007359EF" w:rsidP="00AF1BC5">
            <w:pPr>
              <w:widowControl/>
              <w:jc w:val="center"/>
              <w:rPr>
                <w:b/>
                <w:bCs/>
                <w:szCs w:val="22"/>
              </w:rPr>
            </w:pPr>
          </w:p>
          <w:p w:rsidR="007359EF" w:rsidRPr="00314A1A" w:rsidRDefault="007359EF" w:rsidP="00AF1BC5">
            <w:pPr>
              <w:widowControl/>
              <w:jc w:val="center"/>
              <w:rPr>
                <w:b/>
                <w:bCs/>
                <w:szCs w:val="22"/>
              </w:rPr>
            </w:pPr>
            <w:r w:rsidRPr="00314A1A">
              <w:rPr>
                <w:b/>
                <w:bCs/>
                <w:szCs w:val="22"/>
              </w:rPr>
              <w:t>OF</w:t>
            </w:r>
          </w:p>
          <w:p w:rsidR="005550ED" w:rsidRPr="00314A1A" w:rsidRDefault="005550ED" w:rsidP="00AF1BC5">
            <w:pPr>
              <w:widowControl/>
              <w:jc w:val="center"/>
              <w:rPr>
                <w:b/>
                <w:bCs/>
                <w:szCs w:val="22"/>
              </w:rPr>
            </w:pPr>
          </w:p>
          <w:p w:rsidR="007359EF" w:rsidRPr="00314A1A" w:rsidRDefault="007359EF" w:rsidP="00AF1BC5">
            <w:pPr>
              <w:widowControl/>
              <w:jc w:val="center"/>
              <w:rPr>
                <w:b/>
                <w:bCs/>
                <w:szCs w:val="22"/>
              </w:rPr>
            </w:pPr>
            <w:r w:rsidRPr="00314A1A">
              <w:rPr>
                <w:b/>
                <w:bCs/>
                <w:szCs w:val="22"/>
              </w:rPr>
              <w:t>ADMINISTRATIVE HEARINGS</w:t>
            </w:r>
          </w:p>
        </w:tc>
      </w:tr>
    </w:tbl>
    <w:p w:rsidR="00821DBC" w:rsidRDefault="00821DBC" w:rsidP="00AF1BC5">
      <w:pPr>
        <w:widowControl/>
        <w:spacing w:line="360" w:lineRule="auto"/>
        <w:rPr>
          <w:b/>
          <w:bCs/>
          <w:szCs w:val="22"/>
        </w:rPr>
      </w:pPr>
    </w:p>
    <w:p w:rsidR="00DB73E7" w:rsidRDefault="00A60BF5" w:rsidP="00AF1BC5">
      <w:pPr>
        <w:widowControl/>
        <w:spacing w:line="360" w:lineRule="auto"/>
        <w:jc w:val="center"/>
        <w:rPr>
          <w:b/>
          <w:bCs/>
          <w:szCs w:val="22"/>
        </w:rPr>
      </w:pPr>
      <w:r>
        <w:rPr>
          <w:b/>
          <w:bCs/>
          <w:szCs w:val="22"/>
        </w:rPr>
        <w:t>PROPOSAL FOR DECISION</w:t>
      </w:r>
    </w:p>
    <w:p w:rsidR="0015070B" w:rsidRDefault="0015070B" w:rsidP="00AF1BC5">
      <w:pPr>
        <w:widowControl/>
        <w:spacing w:line="360" w:lineRule="auto"/>
        <w:jc w:val="both"/>
        <w:rPr>
          <w:bCs/>
        </w:rPr>
      </w:pPr>
    </w:p>
    <w:p w:rsidR="003B0DAC" w:rsidRDefault="00B70BBF" w:rsidP="00AF1BC5">
      <w:pPr>
        <w:widowControl/>
        <w:spacing w:line="360" w:lineRule="auto"/>
        <w:ind w:firstLine="720"/>
        <w:jc w:val="both"/>
      </w:pPr>
      <w:r w:rsidRPr="001E34E4">
        <w:t xml:space="preserve">On </w:t>
      </w:r>
      <w:r w:rsidR="0003484C">
        <w:t>March 12,</w:t>
      </w:r>
      <w:r w:rsidRPr="001E34E4">
        <w:t xml:space="preserve"> 2013, </w:t>
      </w:r>
      <w:r w:rsidR="0003484C">
        <w:t xml:space="preserve">Douglas Utility Company (Douglas) </w:t>
      </w:r>
      <w:r w:rsidRPr="001E34E4">
        <w:t xml:space="preserve">filed </w:t>
      </w:r>
      <w:r w:rsidR="00F8170A" w:rsidRPr="001E34E4">
        <w:t xml:space="preserve">an application </w:t>
      </w:r>
      <w:r w:rsidR="001B36FE">
        <w:t xml:space="preserve">(Application) </w:t>
      </w:r>
      <w:r w:rsidR="00A55D13">
        <w:t>for</w:t>
      </w:r>
      <w:r w:rsidR="00F8170A" w:rsidRPr="001E34E4">
        <w:t xml:space="preserve"> </w:t>
      </w:r>
      <w:r w:rsidR="00D45F60">
        <w:t>water</w:t>
      </w:r>
      <w:r w:rsidR="0003484C">
        <w:t xml:space="preserve"> and sewer</w:t>
      </w:r>
      <w:r w:rsidR="00D45F60">
        <w:t xml:space="preserve"> </w:t>
      </w:r>
      <w:r w:rsidR="00F8170A" w:rsidRPr="001E34E4">
        <w:t>rate/tariff change</w:t>
      </w:r>
      <w:r w:rsidR="0003484C">
        <w:t>s</w:t>
      </w:r>
      <w:r w:rsidRPr="001E34E4">
        <w:t>.</w:t>
      </w:r>
      <w:r w:rsidR="00F8170A">
        <w:t xml:space="preserve">  </w:t>
      </w:r>
      <w:r w:rsidR="009E74D0">
        <w:t>On May 12, 2013, Douglas began charging its proposed Application rates.  On August 10, 2015, Douglas cease</w:t>
      </w:r>
      <w:r w:rsidR="00A55D13">
        <w:t>d</w:t>
      </w:r>
      <w:r w:rsidR="009E74D0">
        <w:t xml:space="preserve"> charging </w:t>
      </w:r>
      <w:r w:rsidR="00A55D13">
        <w:t xml:space="preserve">its </w:t>
      </w:r>
      <w:r w:rsidR="009E74D0">
        <w:t xml:space="preserve">proposed rates and returned to charging its pre-Application rates.  On September 2, 2015, before a hearing on the merits was held, Douglas filed notice of withdrawal of its Application.  </w:t>
      </w:r>
      <w:r w:rsidR="005534FD">
        <w:t>Subsequently, t</w:t>
      </w:r>
      <w:r w:rsidR="009E74D0">
        <w:t>he parties reached a stipulation on most of the issues in the case.  The parties agree that</w:t>
      </w:r>
      <w:r w:rsidR="00A55D13">
        <w:t>,</w:t>
      </w:r>
      <w:r w:rsidR="009E74D0">
        <w:t xml:space="preserve"> </w:t>
      </w:r>
      <w:r w:rsidR="00A55D13">
        <w:t xml:space="preserve">to account for the differences between the pre-Application rates and the proposed rates, </w:t>
      </w:r>
      <w:r w:rsidR="009E74D0">
        <w:t xml:space="preserve">Douglas owes refunds to </w:t>
      </w:r>
      <w:r w:rsidR="00BF1A77">
        <w:t>one customer</w:t>
      </w:r>
      <w:r w:rsidR="009E74D0">
        <w:t xml:space="preserve"> </w:t>
      </w:r>
      <w:r w:rsidR="00A55D13">
        <w:t xml:space="preserve">and </w:t>
      </w:r>
      <w:r w:rsidR="009E74D0">
        <w:t>other customers owe a surcharge t</w:t>
      </w:r>
      <w:r w:rsidR="005534FD">
        <w:t>o Douglas.  The remaining issue</w:t>
      </w:r>
      <w:r w:rsidR="009E74D0">
        <w:t xml:space="preserve">, therefore, </w:t>
      </w:r>
      <w:r w:rsidR="005534FD">
        <w:t>is the time period</w:t>
      </w:r>
      <w:r w:rsidR="009E74D0">
        <w:t xml:space="preserve"> for Douglas to pay refunds and collect surcharges.  </w:t>
      </w:r>
      <w:r w:rsidR="005534FD">
        <w:t>In this proposal for decision (PFD) t</w:t>
      </w:r>
      <w:r w:rsidR="009E74D0">
        <w:t xml:space="preserve">he Administrative Law Judge (ALJ) recommends that the Commission order Douglas to pay refunds over a 12-month period and to collect surcharges over a 24-month period.  </w:t>
      </w:r>
    </w:p>
    <w:p w:rsidR="0015070B" w:rsidRPr="00B70BBF" w:rsidRDefault="0015070B" w:rsidP="00AF1BC5">
      <w:pPr>
        <w:widowControl/>
        <w:spacing w:line="360" w:lineRule="auto"/>
        <w:ind w:firstLine="720"/>
        <w:jc w:val="both"/>
        <w:rPr>
          <w:bCs/>
          <w:szCs w:val="22"/>
        </w:rPr>
      </w:pPr>
    </w:p>
    <w:p w:rsidR="00C4459F" w:rsidRDefault="00C4459F" w:rsidP="00AF1BC5">
      <w:pPr>
        <w:pStyle w:val="Heading1"/>
        <w:spacing w:after="0" w:line="360" w:lineRule="auto"/>
      </w:pPr>
      <w:bookmarkStart w:id="1" w:name="_Toc404604025"/>
      <w:bookmarkStart w:id="2" w:name="_Toc412020914"/>
      <w:r w:rsidRPr="002B72F8">
        <w:rPr>
          <w:b/>
        </w:rPr>
        <w:t>I.  JURISDICTION</w:t>
      </w:r>
      <w:r w:rsidR="003E60D9">
        <w:rPr>
          <w:b/>
        </w:rPr>
        <w:t xml:space="preserve"> AND</w:t>
      </w:r>
      <w:r w:rsidR="00BC2AA5">
        <w:rPr>
          <w:b/>
        </w:rPr>
        <w:t xml:space="preserve"> </w:t>
      </w:r>
      <w:r w:rsidRPr="002B72F8">
        <w:rPr>
          <w:b/>
        </w:rPr>
        <w:t>NOTICE</w:t>
      </w:r>
      <w:bookmarkEnd w:id="1"/>
      <w:bookmarkEnd w:id="2"/>
    </w:p>
    <w:p w:rsidR="00C4459F" w:rsidRDefault="00C4459F" w:rsidP="00AF1BC5">
      <w:pPr>
        <w:widowControl/>
        <w:spacing w:line="360" w:lineRule="auto"/>
        <w:jc w:val="both"/>
      </w:pPr>
    </w:p>
    <w:p w:rsidR="00872A75" w:rsidRDefault="00C4459F" w:rsidP="00AF1BC5">
      <w:pPr>
        <w:widowControl/>
        <w:spacing w:line="360" w:lineRule="auto"/>
        <w:jc w:val="both"/>
      </w:pPr>
      <w:r>
        <w:tab/>
        <w:t xml:space="preserve">The </w:t>
      </w:r>
      <w:r w:rsidR="005534FD">
        <w:t xml:space="preserve">Public Utility Commission of Texas (Commission) </w:t>
      </w:r>
      <w:r>
        <w:t xml:space="preserve">has jurisdiction over this proceeding pursuant to </w:t>
      </w:r>
      <w:r w:rsidR="008B162D" w:rsidRPr="00ED2088">
        <w:t>T</w:t>
      </w:r>
      <w:r w:rsidR="00A55D13" w:rsidRPr="00ED2088">
        <w:t xml:space="preserve">exas </w:t>
      </w:r>
      <w:r w:rsidR="008B162D" w:rsidRPr="00ED2088">
        <w:t>W</w:t>
      </w:r>
      <w:r w:rsidR="00A55D13" w:rsidRPr="00ED2088">
        <w:t xml:space="preserve">ater </w:t>
      </w:r>
      <w:r w:rsidR="008B162D" w:rsidRPr="00ED2088">
        <w:t>C</w:t>
      </w:r>
      <w:r w:rsidR="00A55D13" w:rsidRPr="00ED2088">
        <w:t>ode</w:t>
      </w:r>
      <w:r w:rsidR="00D813C0" w:rsidRPr="00ED2088">
        <w:t xml:space="preserve"> </w:t>
      </w:r>
      <w:r w:rsidRPr="00ED2088">
        <w:t>§§</w:t>
      </w:r>
      <w:r w:rsidR="00D813C0" w:rsidRPr="00ED2088">
        <w:t> </w:t>
      </w:r>
      <w:r w:rsidR="00782431" w:rsidRPr="00ED2088">
        <w:t>13.001</w:t>
      </w:r>
      <w:r w:rsidRPr="00ED2088">
        <w:t>,</w:t>
      </w:r>
      <w:r w:rsidR="00782431" w:rsidRPr="00ED2088">
        <w:t xml:space="preserve"> 13.041-.042, </w:t>
      </w:r>
      <w:r w:rsidR="003D34FA" w:rsidRPr="00ED2088">
        <w:t>and 13.181</w:t>
      </w:r>
      <w:r w:rsidRPr="00ED2088">
        <w:t xml:space="preserve">.  </w:t>
      </w:r>
      <w:r w:rsidR="005534FD">
        <w:t>The State Office of Administrative Hearings (</w:t>
      </w:r>
      <w:r w:rsidRPr="00ED2088">
        <w:t>SOAH</w:t>
      </w:r>
      <w:r w:rsidR="005534FD">
        <w:t>)</w:t>
      </w:r>
      <w:r w:rsidRPr="00ED2088">
        <w:t xml:space="preserve"> has jurisdiction over matters relating to the con</w:t>
      </w:r>
      <w:r w:rsidR="00A55D13" w:rsidRPr="00ED2088">
        <w:t>duc</w:t>
      </w:r>
      <w:r w:rsidRPr="00ED2088">
        <w:t>t of this proceeding, including preparation of this PFD, pursuant to</w:t>
      </w:r>
      <w:r w:rsidR="00D813C0" w:rsidRPr="00ED2088">
        <w:t xml:space="preserve"> </w:t>
      </w:r>
      <w:r w:rsidR="00782431" w:rsidRPr="00ED2088">
        <w:t xml:space="preserve">Texas Utilities Code § 14.053, </w:t>
      </w:r>
      <w:r w:rsidR="008B162D" w:rsidRPr="00ED2088">
        <w:t>T</w:t>
      </w:r>
      <w:r w:rsidR="00A55D13" w:rsidRPr="00ED2088">
        <w:t xml:space="preserve">exas </w:t>
      </w:r>
      <w:r w:rsidR="008B162D" w:rsidRPr="00ED2088">
        <w:t>W</w:t>
      </w:r>
      <w:r w:rsidR="00A55D13" w:rsidRPr="00ED2088">
        <w:t xml:space="preserve">ater </w:t>
      </w:r>
      <w:r w:rsidR="008B162D" w:rsidRPr="00ED2088">
        <w:t>C</w:t>
      </w:r>
      <w:r w:rsidR="00A55D13" w:rsidRPr="00ED2088">
        <w:t>ode</w:t>
      </w:r>
      <w:r w:rsidR="00BB4DDD" w:rsidRPr="00ED2088">
        <w:t> </w:t>
      </w:r>
      <w:r w:rsidR="00782431" w:rsidRPr="00ED2088">
        <w:t>§</w:t>
      </w:r>
      <w:r w:rsidRPr="00ED2088">
        <w:t>§ </w:t>
      </w:r>
      <w:r w:rsidR="00D813C0" w:rsidRPr="00ED2088">
        <w:t>5</w:t>
      </w:r>
      <w:r w:rsidRPr="00ED2088">
        <w:t>.</w:t>
      </w:r>
      <w:r w:rsidR="00D813C0" w:rsidRPr="00ED2088">
        <w:t>311</w:t>
      </w:r>
      <w:r w:rsidRPr="00ED2088">
        <w:t xml:space="preserve"> </w:t>
      </w:r>
      <w:r w:rsidR="00782431" w:rsidRPr="00ED2088">
        <w:t>and 13.041(c</w:t>
      </w:r>
      <w:r w:rsidR="00305BC4" w:rsidRPr="00ED2088">
        <w:t>-</w:t>
      </w:r>
      <w:r w:rsidR="00782431" w:rsidRPr="00ED2088">
        <w:t>1)</w:t>
      </w:r>
      <w:r w:rsidR="00B957C3" w:rsidRPr="00ED2088">
        <w:t>,</w:t>
      </w:r>
      <w:r w:rsidR="00782431" w:rsidRPr="00ED2088">
        <w:t xml:space="preserve"> </w:t>
      </w:r>
      <w:r w:rsidRPr="00ED2088">
        <w:t>and Texas Government Code § 2003.049.</w:t>
      </w:r>
      <w:r w:rsidR="00D813C0">
        <w:t xml:space="preserve">  </w:t>
      </w:r>
      <w:r w:rsidR="00B45045">
        <w:t xml:space="preserve">The record closed on February 19, 2016, after submission of the parties’ proposed findings of fact and </w:t>
      </w:r>
      <w:r w:rsidR="00B45045">
        <w:lastRenderedPageBreak/>
        <w:t>conclusions of law and the agreed Exhibit A, attached to this PFD</w:t>
      </w:r>
      <w:r w:rsidR="00C9242F">
        <w:t xml:space="preserve"> as a disk</w:t>
      </w:r>
      <w:r w:rsidR="00B45045">
        <w:t>,</w:t>
      </w:r>
      <w:r w:rsidR="00A86842" w:rsidRPr="00A86842">
        <w:rPr>
          <w:rStyle w:val="FootnoteReference"/>
          <w:vertAlign w:val="superscript"/>
        </w:rPr>
        <w:footnoteReference w:id="1"/>
      </w:r>
      <w:r w:rsidR="00B45045">
        <w:t xml:space="preserve"> </w:t>
      </w:r>
      <w:r w:rsidR="00C9242F">
        <w:t xml:space="preserve">which </w:t>
      </w:r>
      <w:r w:rsidR="00B45045">
        <w:t>provides account reconciliations and the parties’ agreement regarding Douglas’s refunds owed and surcharges due.</w:t>
      </w:r>
    </w:p>
    <w:p w:rsidR="003F77E0" w:rsidRDefault="003F77E0" w:rsidP="00AF1BC5">
      <w:pPr>
        <w:widowControl/>
        <w:spacing w:line="360" w:lineRule="auto"/>
        <w:jc w:val="both"/>
      </w:pPr>
    </w:p>
    <w:p w:rsidR="000368C4" w:rsidRDefault="000368C4" w:rsidP="00AF1BC5">
      <w:pPr>
        <w:pStyle w:val="Heading1"/>
        <w:spacing w:after="0" w:line="360" w:lineRule="auto"/>
      </w:pPr>
      <w:bookmarkStart w:id="3" w:name="_Toc412020915"/>
      <w:r>
        <w:rPr>
          <w:b/>
        </w:rPr>
        <w:t>II</w:t>
      </w:r>
      <w:r w:rsidRPr="002B72F8">
        <w:rPr>
          <w:b/>
        </w:rPr>
        <w:t xml:space="preserve">. </w:t>
      </w:r>
      <w:r w:rsidR="006D1B85">
        <w:rPr>
          <w:b/>
        </w:rPr>
        <w:t xml:space="preserve"> </w:t>
      </w:r>
      <w:bookmarkEnd w:id="3"/>
      <w:r w:rsidR="003E60D9">
        <w:rPr>
          <w:b/>
        </w:rPr>
        <w:t>PROCEDURAL HISTORY</w:t>
      </w:r>
      <w:r w:rsidR="005534FD">
        <w:rPr>
          <w:b/>
        </w:rPr>
        <w:t xml:space="preserve"> AND BACKGROUND</w:t>
      </w:r>
    </w:p>
    <w:p w:rsidR="000368C4" w:rsidRDefault="000368C4" w:rsidP="00AF1BC5">
      <w:pPr>
        <w:widowControl/>
        <w:spacing w:line="360" w:lineRule="auto"/>
        <w:jc w:val="both"/>
      </w:pPr>
    </w:p>
    <w:p w:rsidR="00A55D13" w:rsidRDefault="007F6452" w:rsidP="00AF1BC5">
      <w:pPr>
        <w:widowControl/>
        <w:spacing w:line="360" w:lineRule="auto"/>
        <w:ind w:firstLine="720"/>
        <w:jc w:val="both"/>
      </w:pPr>
      <w:r w:rsidRPr="001E34E4">
        <w:t xml:space="preserve">On </w:t>
      </w:r>
      <w:r>
        <w:t>March 12,</w:t>
      </w:r>
      <w:r w:rsidRPr="001E34E4">
        <w:t xml:space="preserve"> 2013, </w:t>
      </w:r>
      <w:r>
        <w:t xml:space="preserve">Douglas </w:t>
      </w:r>
      <w:r w:rsidRPr="001E34E4">
        <w:t xml:space="preserve">filed </w:t>
      </w:r>
      <w:r w:rsidR="005534FD">
        <w:t xml:space="preserve">its </w:t>
      </w:r>
      <w:r w:rsidR="00A55D13">
        <w:t xml:space="preserve">Application </w:t>
      </w:r>
      <w:r w:rsidRPr="001E34E4">
        <w:t xml:space="preserve">with the </w:t>
      </w:r>
      <w:r w:rsidR="005534FD">
        <w:t>Texas Commission on Environmental Quality (</w:t>
      </w:r>
      <w:r w:rsidRPr="001E34E4">
        <w:t>TCEQ</w:t>
      </w:r>
      <w:r w:rsidR="005534FD">
        <w:t>)</w:t>
      </w:r>
      <w:r w:rsidRPr="001E34E4">
        <w:t>.</w:t>
      </w:r>
      <w:r w:rsidR="00A55D13">
        <w:t xml:space="preserve">  </w:t>
      </w:r>
      <w:r>
        <w:t xml:space="preserve">On </w:t>
      </w:r>
      <w:r w:rsidR="00A55D13">
        <w:t>November 19, 2013</w:t>
      </w:r>
      <w:r>
        <w:t xml:space="preserve">, TCEQ referred the case to </w:t>
      </w:r>
      <w:r w:rsidR="005534FD">
        <w:t>SOAH</w:t>
      </w:r>
      <w:r>
        <w:t xml:space="preserve">.  </w:t>
      </w:r>
      <w:r w:rsidR="002053CE">
        <w:t xml:space="preserve">The parties to the case were Douglas, the Executive Director (ED) of the TCEQ, the Office of Public Interest Counsel (OPIC), </w:t>
      </w:r>
      <w:r w:rsidR="002053CE">
        <w:rPr>
          <w:color w:val="000000"/>
        </w:rPr>
        <w:t>Fountainview Homeowners Association (Fountainview), and Rainbow Housing Assistance Corporation/Equality Community Housing Corporation (Equality).</w:t>
      </w:r>
    </w:p>
    <w:p w:rsidR="009E74D0" w:rsidRDefault="009E74D0" w:rsidP="00AF1BC5">
      <w:pPr>
        <w:widowControl/>
        <w:spacing w:line="360" w:lineRule="auto"/>
        <w:jc w:val="both"/>
      </w:pPr>
    </w:p>
    <w:p w:rsidR="002F58AC" w:rsidRDefault="002F58AC" w:rsidP="00AF1BC5">
      <w:pPr>
        <w:widowControl/>
        <w:spacing w:line="360" w:lineRule="auto"/>
        <w:ind w:firstLine="720"/>
        <w:jc w:val="both"/>
        <w:rPr>
          <w:color w:val="000000"/>
        </w:rPr>
      </w:pPr>
      <w:r>
        <w:rPr>
          <w:color w:val="000000"/>
        </w:rPr>
        <w:t xml:space="preserve">The case was referred to mediation on June 6, 2014.  On August 4, 2014, the </w:t>
      </w:r>
      <w:r w:rsidR="00A55D13">
        <w:rPr>
          <w:color w:val="000000"/>
        </w:rPr>
        <w:t xml:space="preserve">SOAH </w:t>
      </w:r>
      <w:r>
        <w:rPr>
          <w:color w:val="000000"/>
        </w:rPr>
        <w:t xml:space="preserve">mediator reported in writing that an agreement had been reached and that the </w:t>
      </w:r>
      <w:r w:rsidR="005534FD">
        <w:rPr>
          <w:color w:val="000000"/>
        </w:rPr>
        <w:t>ED</w:t>
      </w:r>
      <w:r w:rsidR="002053CE">
        <w:rPr>
          <w:color w:val="000000"/>
        </w:rPr>
        <w:t xml:space="preserve"> </w:t>
      </w:r>
      <w:r>
        <w:rPr>
          <w:color w:val="000000"/>
        </w:rPr>
        <w:t>would be filing a motion to remand the matter to the TCEQ.</w:t>
      </w:r>
      <w:r w:rsidR="005534FD" w:rsidRPr="005534FD">
        <w:rPr>
          <w:rStyle w:val="FootnoteReference"/>
          <w:color w:val="000000"/>
          <w:vertAlign w:val="superscript"/>
        </w:rPr>
        <w:footnoteReference w:id="2"/>
      </w:r>
      <w:r w:rsidR="005534FD">
        <w:rPr>
          <w:color w:val="000000"/>
        </w:rPr>
        <w:t xml:space="preserve">  On July 30, </w:t>
      </w:r>
      <w:r>
        <w:rPr>
          <w:color w:val="000000"/>
        </w:rPr>
        <w:t>2014, the ED filed a Motion to Dismiss and Remand.  On July 31, 2014, Douglas filed a response opposing the motion, which stated that after the mediation, Douglas discovered that the settlement rates would put Douglas in a “negative cash flow situation.”</w:t>
      </w:r>
      <w:r w:rsidRPr="002F58AC">
        <w:rPr>
          <w:rStyle w:val="FootnoteReference"/>
          <w:color w:val="000000"/>
          <w:vertAlign w:val="superscript"/>
        </w:rPr>
        <w:footnoteReference w:id="3"/>
      </w:r>
      <w:r>
        <w:rPr>
          <w:color w:val="000000"/>
        </w:rPr>
        <w:t xml:space="preserve">  The ALJ issued Order No. 3, denying the motion to remand.</w:t>
      </w:r>
    </w:p>
    <w:p w:rsidR="002F58AC" w:rsidRDefault="002F58AC" w:rsidP="00AF1BC5">
      <w:pPr>
        <w:widowControl/>
        <w:spacing w:line="360" w:lineRule="auto"/>
        <w:ind w:firstLine="720"/>
        <w:jc w:val="both"/>
        <w:rPr>
          <w:color w:val="000000"/>
        </w:rPr>
      </w:pPr>
    </w:p>
    <w:p w:rsidR="00A55D13" w:rsidRDefault="00FA386A" w:rsidP="00AF1BC5">
      <w:pPr>
        <w:widowControl/>
        <w:spacing w:line="360" w:lineRule="auto"/>
        <w:ind w:firstLine="720"/>
        <w:jc w:val="both"/>
      </w:pPr>
      <w:r>
        <w:rPr>
          <w:color w:val="000000"/>
        </w:rPr>
        <w:t xml:space="preserve">On August 28, 2014, the ED filed a motion for reconsideration asking the ALJ to reverse her ruling in Order No. 3 and dismiss and remand the matter.  </w:t>
      </w:r>
      <w:r w:rsidR="00A55D13">
        <w:t xml:space="preserve">Effective September 1, 2014, the transfer of economic jurisdiction over water and sewer utilities from TCEQ to the Commission </w:t>
      </w:r>
      <w:r w:rsidR="00A55D13">
        <w:lastRenderedPageBreak/>
        <w:t xml:space="preserve">took effect.  On that date, </w:t>
      </w:r>
      <w:r w:rsidR="005534FD">
        <w:t xml:space="preserve">the </w:t>
      </w:r>
      <w:r w:rsidR="00A55D13">
        <w:t>ED</w:t>
      </w:r>
      <w:r w:rsidR="002053CE">
        <w:t xml:space="preserve"> and OPIC</w:t>
      </w:r>
      <w:r w:rsidR="00A55D13">
        <w:t xml:space="preserve"> ceased to be </w:t>
      </w:r>
      <w:r w:rsidR="002053CE">
        <w:t>p</w:t>
      </w:r>
      <w:r w:rsidR="00A55D13">
        <w:t>art</w:t>
      </w:r>
      <w:r w:rsidR="002053CE">
        <w:t>ies</w:t>
      </w:r>
      <w:r w:rsidR="00A55D13">
        <w:t xml:space="preserve"> and </w:t>
      </w:r>
      <w:r w:rsidR="005534FD">
        <w:t xml:space="preserve">Commission </w:t>
      </w:r>
      <w:r w:rsidR="00A55D13">
        <w:t>Staff became a party to this case.</w:t>
      </w:r>
      <w:r w:rsidR="00A55D13" w:rsidRPr="005713DD">
        <w:rPr>
          <w:rStyle w:val="FootnoteReference"/>
          <w:vertAlign w:val="superscript"/>
        </w:rPr>
        <w:footnoteReference w:id="4"/>
      </w:r>
    </w:p>
    <w:p w:rsidR="00A55D13" w:rsidRDefault="00A55D13" w:rsidP="00A55D13">
      <w:pPr>
        <w:widowControl/>
        <w:spacing w:line="360" w:lineRule="auto"/>
        <w:ind w:firstLine="720"/>
        <w:jc w:val="both"/>
      </w:pPr>
    </w:p>
    <w:p w:rsidR="00FA386A" w:rsidRDefault="00FA386A" w:rsidP="002F58AC">
      <w:pPr>
        <w:widowControl/>
        <w:spacing w:line="360" w:lineRule="auto"/>
        <w:ind w:firstLine="720"/>
        <w:jc w:val="both"/>
        <w:rPr>
          <w:color w:val="000000"/>
        </w:rPr>
      </w:pPr>
      <w:r>
        <w:rPr>
          <w:color w:val="000000"/>
        </w:rPr>
        <w:t xml:space="preserve">On September 2, 2014, Equality filed a motion for reconsideration or in the alternative a motion for summary disposition or a request for certification of an issue to the </w:t>
      </w:r>
      <w:r w:rsidR="005534FD">
        <w:rPr>
          <w:color w:val="000000"/>
        </w:rPr>
        <w:t>Commission</w:t>
      </w:r>
      <w:r>
        <w:rPr>
          <w:color w:val="000000"/>
        </w:rPr>
        <w:t xml:space="preserve">.  </w:t>
      </w:r>
      <w:r w:rsidR="005534FD">
        <w:rPr>
          <w:color w:val="000000"/>
        </w:rPr>
        <w:t>On t</w:t>
      </w:r>
      <w:r>
        <w:rPr>
          <w:color w:val="000000"/>
        </w:rPr>
        <w:t xml:space="preserve">he same day, Equality filed an appeal of SOAH Order No. 3 with the </w:t>
      </w:r>
      <w:r w:rsidR="005534FD">
        <w:rPr>
          <w:color w:val="000000"/>
        </w:rPr>
        <w:t>Commission</w:t>
      </w:r>
      <w:r>
        <w:rPr>
          <w:color w:val="000000"/>
        </w:rPr>
        <w:t xml:space="preserve">. </w:t>
      </w:r>
      <w:r w:rsidR="005534FD">
        <w:rPr>
          <w:color w:val="000000"/>
        </w:rPr>
        <w:t xml:space="preserve"> </w:t>
      </w:r>
      <w:r>
        <w:rPr>
          <w:color w:val="000000"/>
        </w:rPr>
        <w:t xml:space="preserve">Staff filed a response supporting Equality’s appeal, and Douglas late-filed a response opposing the appeal.  </w:t>
      </w:r>
    </w:p>
    <w:p w:rsidR="00FA386A" w:rsidRDefault="00FA386A" w:rsidP="002F58AC">
      <w:pPr>
        <w:widowControl/>
        <w:spacing w:line="360" w:lineRule="auto"/>
        <w:ind w:firstLine="720"/>
        <w:jc w:val="both"/>
        <w:rPr>
          <w:color w:val="000000"/>
        </w:rPr>
      </w:pPr>
    </w:p>
    <w:p w:rsidR="002F58AC" w:rsidRDefault="00FA386A" w:rsidP="002F58AC">
      <w:pPr>
        <w:widowControl/>
        <w:spacing w:line="360" w:lineRule="auto"/>
        <w:ind w:firstLine="720"/>
        <w:jc w:val="both"/>
        <w:rPr>
          <w:color w:val="000000"/>
        </w:rPr>
      </w:pPr>
      <w:r>
        <w:rPr>
          <w:color w:val="000000"/>
        </w:rPr>
        <w:t xml:space="preserve">On September 16, 2014, the ALJ denied Equality’s motion to reconsider and alternative requests for summary disposition or to certify an issue to the </w:t>
      </w:r>
      <w:r w:rsidR="005534FD">
        <w:rPr>
          <w:color w:val="000000"/>
        </w:rPr>
        <w:t>Commission</w:t>
      </w:r>
      <w:r>
        <w:rPr>
          <w:color w:val="000000"/>
        </w:rPr>
        <w:t>.  On Octobe</w:t>
      </w:r>
      <w:r w:rsidR="005534FD">
        <w:rPr>
          <w:color w:val="000000"/>
        </w:rPr>
        <w:t>r 29, </w:t>
      </w:r>
      <w:r>
        <w:rPr>
          <w:color w:val="000000"/>
        </w:rPr>
        <w:t xml:space="preserve">2014, the </w:t>
      </w:r>
      <w:r w:rsidR="005534FD">
        <w:rPr>
          <w:color w:val="000000"/>
        </w:rPr>
        <w:t>Commission</w:t>
      </w:r>
      <w:r>
        <w:rPr>
          <w:color w:val="000000"/>
        </w:rPr>
        <w:t xml:space="preserve"> denied Equality’s appeal and ordered a limited evidentiary hearing on whether the settlement agreement contained rates t</w:t>
      </w:r>
      <w:r w:rsidR="005534FD">
        <w:rPr>
          <w:color w:val="000000"/>
        </w:rPr>
        <w:t>hat violated Texas Water Code § </w:t>
      </w:r>
      <w:r>
        <w:rPr>
          <w:color w:val="000000"/>
        </w:rPr>
        <w:t xml:space="preserve">13.183(a).  </w:t>
      </w:r>
    </w:p>
    <w:p w:rsidR="00FA386A" w:rsidRDefault="00FA386A" w:rsidP="002F58AC">
      <w:pPr>
        <w:widowControl/>
        <w:spacing w:line="360" w:lineRule="auto"/>
        <w:ind w:firstLine="720"/>
        <w:jc w:val="both"/>
        <w:rPr>
          <w:color w:val="000000"/>
        </w:rPr>
      </w:pPr>
    </w:p>
    <w:p w:rsidR="00C8064C" w:rsidRDefault="00FA386A" w:rsidP="002F58AC">
      <w:pPr>
        <w:widowControl/>
        <w:spacing w:line="360" w:lineRule="auto"/>
        <w:ind w:firstLine="720"/>
        <w:jc w:val="both"/>
        <w:rPr>
          <w:color w:val="000000"/>
        </w:rPr>
      </w:pPr>
      <w:r>
        <w:rPr>
          <w:color w:val="000000"/>
        </w:rPr>
        <w:t xml:space="preserve">The SOAH hearing date was set for August 4-7, 2015.  The hearing was continued, and a prehearing conference was held on September 1, 2015.  During the prehearing conference, Douglas announced that it was withdrawing its Application and that it </w:t>
      </w:r>
      <w:r w:rsidR="00A55D13">
        <w:rPr>
          <w:color w:val="000000"/>
        </w:rPr>
        <w:t xml:space="preserve">had returned to </w:t>
      </w:r>
      <w:r>
        <w:rPr>
          <w:color w:val="000000"/>
        </w:rPr>
        <w:t>charging it</w:t>
      </w:r>
      <w:r w:rsidR="00A55D13">
        <w:rPr>
          <w:color w:val="000000"/>
        </w:rPr>
        <w:t>s</w:t>
      </w:r>
      <w:r>
        <w:rPr>
          <w:color w:val="000000"/>
        </w:rPr>
        <w:t xml:space="preserve"> pre-</w:t>
      </w:r>
      <w:r w:rsidR="00A55D13">
        <w:rPr>
          <w:color w:val="000000"/>
        </w:rPr>
        <w:t>A</w:t>
      </w:r>
      <w:r>
        <w:rPr>
          <w:color w:val="000000"/>
        </w:rPr>
        <w:t>pplication rates.  Douglas filed a Notice of Withdrawal of Application for Rate/Tariff Change and Proposed Disposition of Incremental Revenues on September 2, 2015.</w:t>
      </w:r>
      <w:r w:rsidR="00207AE6" w:rsidRPr="00A55D13">
        <w:rPr>
          <w:rStyle w:val="FootnoteReference"/>
          <w:color w:val="000000"/>
          <w:vertAlign w:val="superscript"/>
        </w:rPr>
        <w:footnoteReference w:id="5"/>
      </w:r>
      <w:r>
        <w:rPr>
          <w:color w:val="000000"/>
        </w:rPr>
        <w:t xml:space="preserve">  </w:t>
      </w:r>
    </w:p>
    <w:p w:rsidR="00207AE6" w:rsidRDefault="00207AE6" w:rsidP="002F58AC">
      <w:pPr>
        <w:widowControl/>
        <w:spacing w:line="360" w:lineRule="auto"/>
        <w:ind w:firstLine="720"/>
        <w:jc w:val="both"/>
        <w:rPr>
          <w:color w:val="000000"/>
        </w:rPr>
      </w:pPr>
    </w:p>
    <w:p w:rsidR="00C8064C" w:rsidRDefault="00207AE6" w:rsidP="002F58AC">
      <w:pPr>
        <w:widowControl/>
        <w:spacing w:line="360" w:lineRule="auto"/>
        <w:ind w:firstLine="720"/>
        <w:jc w:val="both"/>
        <w:rPr>
          <w:color w:val="000000"/>
        </w:rPr>
      </w:pPr>
      <w:r>
        <w:rPr>
          <w:color w:val="000000"/>
        </w:rPr>
        <w:t>Douglas</w:t>
      </w:r>
      <w:r w:rsidR="00C8064C">
        <w:rPr>
          <w:color w:val="000000"/>
        </w:rPr>
        <w:t xml:space="preserve"> collected the </w:t>
      </w:r>
      <w:r w:rsidR="00A55D13">
        <w:rPr>
          <w:color w:val="000000"/>
        </w:rPr>
        <w:t xml:space="preserve">proposed </w:t>
      </w:r>
      <w:r w:rsidR="00C8064C">
        <w:rPr>
          <w:color w:val="000000"/>
        </w:rPr>
        <w:t xml:space="preserve">rates from May 12, 2013, to August 10, 2015, a period of 27 months.  </w:t>
      </w:r>
      <w:r w:rsidR="00A55D13">
        <w:rPr>
          <w:color w:val="000000"/>
        </w:rPr>
        <w:t>Douglas has approximately 456 water connections and 432 sewer connections.</w:t>
      </w:r>
      <w:r w:rsidR="00A55D13" w:rsidRPr="00A55D13">
        <w:rPr>
          <w:rStyle w:val="FootnoteReference"/>
          <w:color w:val="000000"/>
          <w:vertAlign w:val="superscript"/>
        </w:rPr>
        <w:footnoteReference w:id="6"/>
      </w:r>
      <w:r w:rsidR="005534FD">
        <w:rPr>
          <w:color w:val="000000"/>
        </w:rPr>
        <w:t xml:space="preserve">  </w:t>
      </w:r>
    </w:p>
    <w:p w:rsidR="00544C7E" w:rsidRDefault="00544C7E" w:rsidP="001631ED">
      <w:pPr>
        <w:widowControl/>
        <w:spacing w:line="360" w:lineRule="auto"/>
        <w:ind w:firstLine="720"/>
        <w:jc w:val="both"/>
      </w:pPr>
    </w:p>
    <w:p w:rsidR="0041118C" w:rsidRDefault="00113A44" w:rsidP="00AF1BC5">
      <w:pPr>
        <w:pStyle w:val="Heading1"/>
        <w:spacing w:after="0" w:line="360" w:lineRule="auto"/>
        <w:rPr>
          <w:b/>
          <w:bCs w:val="0"/>
          <w:szCs w:val="22"/>
        </w:rPr>
      </w:pPr>
      <w:bookmarkStart w:id="4" w:name="_Toc412020940"/>
      <w:r>
        <w:rPr>
          <w:b/>
          <w:bCs w:val="0"/>
          <w:szCs w:val="22"/>
        </w:rPr>
        <w:lastRenderedPageBreak/>
        <w:t>III</w:t>
      </w:r>
      <w:r w:rsidR="0041118C">
        <w:rPr>
          <w:b/>
          <w:bCs w:val="0"/>
          <w:szCs w:val="22"/>
        </w:rPr>
        <w:t xml:space="preserve">.  </w:t>
      </w:r>
      <w:bookmarkEnd w:id="4"/>
      <w:r w:rsidR="003E60D9">
        <w:rPr>
          <w:b/>
          <w:bCs w:val="0"/>
          <w:szCs w:val="22"/>
        </w:rPr>
        <w:t>TIME PERIOD FOR IMPLEMENTING REFUNDS AND SURCHARGES</w:t>
      </w:r>
    </w:p>
    <w:p w:rsidR="0041118C" w:rsidRDefault="0041118C" w:rsidP="00AF1BC5">
      <w:pPr>
        <w:widowControl/>
        <w:tabs>
          <w:tab w:val="center" w:pos="4680"/>
        </w:tabs>
        <w:spacing w:line="360" w:lineRule="auto"/>
        <w:rPr>
          <w:szCs w:val="22"/>
        </w:rPr>
      </w:pPr>
    </w:p>
    <w:p w:rsidR="003D1233" w:rsidRDefault="000C4FD8" w:rsidP="00AF1BC5">
      <w:pPr>
        <w:widowControl/>
        <w:tabs>
          <w:tab w:val="center" w:pos="4680"/>
        </w:tabs>
        <w:spacing w:line="360" w:lineRule="auto"/>
        <w:ind w:firstLine="720"/>
        <w:jc w:val="both"/>
        <w:rPr>
          <w:szCs w:val="22"/>
        </w:rPr>
      </w:pPr>
      <w:r>
        <w:rPr>
          <w:szCs w:val="22"/>
        </w:rPr>
        <w:t xml:space="preserve">The only remaining issue in the case is the </w:t>
      </w:r>
      <w:r w:rsidR="00A55D13">
        <w:rPr>
          <w:szCs w:val="22"/>
        </w:rPr>
        <w:t>time period</w:t>
      </w:r>
      <w:r w:rsidR="00AC204A">
        <w:rPr>
          <w:szCs w:val="22"/>
        </w:rPr>
        <w:t>s</w:t>
      </w:r>
      <w:r>
        <w:rPr>
          <w:szCs w:val="22"/>
        </w:rPr>
        <w:t xml:space="preserve"> for </w:t>
      </w:r>
      <w:r w:rsidR="00207AE6">
        <w:rPr>
          <w:szCs w:val="22"/>
        </w:rPr>
        <w:t>Douglas</w:t>
      </w:r>
      <w:r>
        <w:rPr>
          <w:szCs w:val="22"/>
        </w:rPr>
        <w:t xml:space="preserve"> to pay refunds </w:t>
      </w:r>
      <w:r w:rsidR="00C9242F">
        <w:rPr>
          <w:szCs w:val="22"/>
        </w:rPr>
        <w:t xml:space="preserve">to </w:t>
      </w:r>
      <w:r w:rsidR="002053CE">
        <w:rPr>
          <w:szCs w:val="22"/>
        </w:rPr>
        <w:t xml:space="preserve">the </w:t>
      </w:r>
      <w:r w:rsidR="005534FD">
        <w:rPr>
          <w:szCs w:val="22"/>
        </w:rPr>
        <w:t>customer that w</w:t>
      </w:r>
      <w:r w:rsidR="002053CE">
        <w:rPr>
          <w:szCs w:val="22"/>
        </w:rPr>
        <w:t>as</w:t>
      </w:r>
      <w:r w:rsidR="005534FD">
        <w:rPr>
          <w:szCs w:val="22"/>
        </w:rPr>
        <w:t xml:space="preserve"> overcharged under the proposed</w:t>
      </w:r>
      <w:r w:rsidR="00C9242F">
        <w:rPr>
          <w:szCs w:val="22"/>
        </w:rPr>
        <w:t>, but withdrawn,</w:t>
      </w:r>
      <w:r w:rsidR="005534FD">
        <w:rPr>
          <w:szCs w:val="22"/>
        </w:rPr>
        <w:t xml:space="preserve"> rates and </w:t>
      </w:r>
      <w:r w:rsidR="00AC204A">
        <w:rPr>
          <w:szCs w:val="22"/>
        </w:rPr>
        <w:t>f</w:t>
      </w:r>
      <w:r>
        <w:rPr>
          <w:szCs w:val="22"/>
        </w:rPr>
        <w:t xml:space="preserve">or the undercharged customers to pay surcharges to </w:t>
      </w:r>
      <w:r w:rsidR="00207AE6">
        <w:rPr>
          <w:szCs w:val="22"/>
        </w:rPr>
        <w:t>Douglas</w:t>
      </w:r>
      <w:r>
        <w:rPr>
          <w:szCs w:val="22"/>
        </w:rPr>
        <w:t xml:space="preserve">.  </w:t>
      </w:r>
      <w:r w:rsidR="00B45045">
        <w:rPr>
          <w:szCs w:val="22"/>
        </w:rPr>
        <w:t xml:space="preserve">A telephone conference was held on January 22, 2016, for the parties to present oral argument and provide applicable precedent to support their positions regarding the time period for Douglas to pay refunds and collect surcharges.  </w:t>
      </w:r>
    </w:p>
    <w:p w:rsidR="00ED2088" w:rsidRDefault="00ED2088" w:rsidP="00AF1BC5">
      <w:pPr>
        <w:widowControl/>
        <w:tabs>
          <w:tab w:val="center" w:pos="4680"/>
        </w:tabs>
        <w:spacing w:line="360" w:lineRule="auto"/>
        <w:jc w:val="both"/>
        <w:rPr>
          <w:szCs w:val="22"/>
        </w:rPr>
      </w:pPr>
    </w:p>
    <w:p w:rsidR="008F0076" w:rsidRDefault="008F0076" w:rsidP="00AF1BC5">
      <w:pPr>
        <w:pStyle w:val="ListParagraph"/>
        <w:numPr>
          <w:ilvl w:val="0"/>
          <w:numId w:val="46"/>
        </w:numPr>
        <w:tabs>
          <w:tab w:val="center" w:pos="4680"/>
        </w:tabs>
        <w:spacing w:line="360" w:lineRule="auto"/>
        <w:ind w:hanging="720"/>
        <w:rPr>
          <w:b/>
          <w:szCs w:val="22"/>
        </w:rPr>
      </w:pPr>
      <w:r>
        <w:rPr>
          <w:b/>
          <w:szCs w:val="22"/>
        </w:rPr>
        <w:t xml:space="preserve">The </w:t>
      </w:r>
      <w:r w:rsidR="00C9242F">
        <w:rPr>
          <w:b/>
          <w:szCs w:val="22"/>
        </w:rPr>
        <w:t>P</w:t>
      </w:r>
      <w:r>
        <w:rPr>
          <w:b/>
          <w:szCs w:val="22"/>
        </w:rPr>
        <w:t xml:space="preserve">arties’ </w:t>
      </w:r>
      <w:r w:rsidR="00C9242F">
        <w:rPr>
          <w:b/>
          <w:szCs w:val="22"/>
        </w:rPr>
        <w:t>Arguments</w:t>
      </w:r>
      <w:r>
        <w:rPr>
          <w:b/>
          <w:szCs w:val="22"/>
        </w:rPr>
        <w:t xml:space="preserve"> </w:t>
      </w:r>
    </w:p>
    <w:p w:rsidR="008F0076" w:rsidRPr="008F0076" w:rsidRDefault="008F0076" w:rsidP="00AF1BC5">
      <w:pPr>
        <w:pStyle w:val="ListParagraph"/>
        <w:tabs>
          <w:tab w:val="center" w:pos="4680"/>
        </w:tabs>
        <w:spacing w:line="360" w:lineRule="auto"/>
        <w:rPr>
          <w:b/>
          <w:szCs w:val="22"/>
        </w:rPr>
      </w:pPr>
    </w:p>
    <w:p w:rsidR="00F4246E" w:rsidRDefault="00207AE6" w:rsidP="00AF1BC5">
      <w:pPr>
        <w:widowControl/>
        <w:tabs>
          <w:tab w:val="center" w:pos="4680"/>
        </w:tabs>
        <w:spacing w:line="360" w:lineRule="auto"/>
        <w:ind w:firstLine="720"/>
        <w:jc w:val="both"/>
        <w:rPr>
          <w:szCs w:val="22"/>
        </w:rPr>
      </w:pPr>
      <w:r>
        <w:rPr>
          <w:szCs w:val="22"/>
        </w:rPr>
        <w:t>Douglas</w:t>
      </w:r>
      <w:r w:rsidR="000C4FD8">
        <w:rPr>
          <w:szCs w:val="22"/>
        </w:rPr>
        <w:t xml:space="preserve"> argued that the time period for refunds should be the same amount of time over which overcharges were collected.  </w:t>
      </w:r>
      <w:r>
        <w:rPr>
          <w:szCs w:val="22"/>
        </w:rPr>
        <w:t>Douglas</w:t>
      </w:r>
      <w:r w:rsidR="000C4FD8">
        <w:rPr>
          <w:szCs w:val="22"/>
        </w:rPr>
        <w:t xml:space="preserve"> stated that such an approach is consistent with “the long-time prece</w:t>
      </w:r>
      <w:r w:rsidR="002053CE">
        <w:rPr>
          <w:szCs w:val="22"/>
        </w:rPr>
        <w:t>d</w:t>
      </w:r>
      <w:r w:rsidR="000C4FD8">
        <w:rPr>
          <w:szCs w:val="22"/>
        </w:rPr>
        <w:t>ent that has been in effect for decades that refunds and surcharges are made over the same number of months that the proposed rates were charged.”</w:t>
      </w:r>
      <w:r w:rsidR="000C4FD8" w:rsidRPr="00F4246E">
        <w:rPr>
          <w:rStyle w:val="FootnoteReference"/>
          <w:szCs w:val="22"/>
          <w:vertAlign w:val="superscript"/>
        </w:rPr>
        <w:footnoteReference w:id="7"/>
      </w:r>
      <w:r w:rsidR="00F4246E">
        <w:rPr>
          <w:szCs w:val="22"/>
        </w:rPr>
        <w:t xml:space="preserve">  </w:t>
      </w:r>
      <w:r>
        <w:rPr>
          <w:szCs w:val="22"/>
        </w:rPr>
        <w:t>Douglas</w:t>
      </w:r>
      <w:r w:rsidR="00F4246E">
        <w:rPr>
          <w:szCs w:val="22"/>
        </w:rPr>
        <w:t xml:space="preserve"> also argued that under Texas Water Code §</w:t>
      </w:r>
      <w:r>
        <w:rPr>
          <w:szCs w:val="22"/>
        </w:rPr>
        <w:t>§</w:t>
      </w:r>
      <w:r w:rsidR="00F4246E">
        <w:rPr>
          <w:szCs w:val="22"/>
        </w:rPr>
        <w:t xml:space="preserve"> 13.189-.190, all customers have to be treated fundamentally the same.  Therefore, refunds and surcharges should take place over the same amount of time.  It is </w:t>
      </w:r>
      <w:r>
        <w:rPr>
          <w:szCs w:val="22"/>
        </w:rPr>
        <w:t>Douglas</w:t>
      </w:r>
      <w:r w:rsidR="00F4246E">
        <w:rPr>
          <w:szCs w:val="22"/>
        </w:rPr>
        <w:t>’s position that paying refunds to some customers during a shorter period of time than the time period for other customers to pay surcharges would be unfair and contrary to the Texas Water Code.</w:t>
      </w:r>
    </w:p>
    <w:p w:rsidR="00B8235A" w:rsidRDefault="00B8235A" w:rsidP="00AF1BC5">
      <w:pPr>
        <w:widowControl/>
        <w:tabs>
          <w:tab w:val="center" w:pos="4680"/>
        </w:tabs>
        <w:spacing w:line="360" w:lineRule="auto"/>
        <w:ind w:firstLine="720"/>
        <w:jc w:val="both"/>
        <w:rPr>
          <w:szCs w:val="22"/>
        </w:rPr>
      </w:pPr>
    </w:p>
    <w:p w:rsidR="004C5DFB" w:rsidRDefault="00F4246E" w:rsidP="00AF1BC5">
      <w:pPr>
        <w:widowControl/>
        <w:tabs>
          <w:tab w:val="center" w:pos="4680"/>
        </w:tabs>
        <w:spacing w:line="360" w:lineRule="auto"/>
        <w:ind w:firstLine="720"/>
        <w:jc w:val="both"/>
        <w:rPr>
          <w:szCs w:val="22"/>
        </w:rPr>
      </w:pPr>
      <w:r>
        <w:rPr>
          <w:szCs w:val="22"/>
        </w:rPr>
        <w:t>Equality</w:t>
      </w:r>
      <w:r w:rsidRPr="008A656A">
        <w:rPr>
          <w:rStyle w:val="FootnoteReference"/>
          <w:szCs w:val="22"/>
          <w:vertAlign w:val="superscript"/>
        </w:rPr>
        <w:footnoteReference w:id="8"/>
      </w:r>
      <w:r>
        <w:rPr>
          <w:szCs w:val="22"/>
        </w:rPr>
        <w:t xml:space="preserve"> argued that</w:t>
      </w:r>
      <w:r w:rsidR="008A656A">
        <w:rPr>
          <w:szCs w:val="22"/>
        </w:rPr>
        <w:t xml:space="preserve"> customers should be permitted to pay surcharges to </w:t>
      </w:r>
      <w:r w:rsidR="00207AE6">
        <w:rPr>
          <w:szCs w:val="22"/>
        </w:rPr>
        <w:t>Douglas</w:t>
      </w:r>
      <w:r w:rsidR="008A656A">
        <w:rPr>
          <w:szCs w:val="22"/>
        </w:rPr>
        <w:t xml:space="preserve"> over the same amount of time that </w:t>
      </w:r>
      <w:r w:rsidR="00207AE6">
        <w:rPr>
          <w:szCs w:val="22"/>
        </w:rPr>
        <w:t>Douglas</w:t>
      </w:r>
      <w:r w:rsidR="008A656A">
        <w:rPr>
          <w:szCs w:val="22"/>
        </w:rPr>
        <w:t xml:space="preserve"> </w:t>
      </w:r>
      <w:r w:rsidR="00207AE6">
        <w:rPr>
          <w:szCs w:val="22"/>
        </w:rPr>
        <w:t xml:space="preserve">charged the Application rates </w:t>
      </w:r>
      <w:r w:rsidR="008A656A">
        <w:rPr>
          <w:szCs w:val="22"/>
        </w:rPr>
        <w:t xml:space="preserve">because those customers </w:t>
      </w:r>
      <w:r w:rsidR="00207AE6">
        <w:rPr>
          <w:szCs w:val="22"/>
        </w:rPr>
        <w:t>a</w:t>
      </w:r>
      <w:r w:rsidR="008A656A">
        <w:rPr>
          <w:szCs w:val="22"/>
        </w:rPr>
        <w:t xml:space="preserve">re individuals who would probably not be able to afford to make payments over a shorter period of time.  </w:t>
      </w:r>
      <w:r w:rsidR="004C5DFB">
        <w:rPr>
          <w:szCs w:val="22"/>
        </w:rPr>
        <w:t xml:space="preserve">Equality also argued that refunds should be paid by </w:t>
      </w:r>
      <w:r w:rsidR="00207AE6">
        <w:rPr>
          <w:szCs w:val="22"/>
        </w:rPr>
        <w:t>Douglas</w:t>
      </w:r>
      <w:r w:rsidR="004C5DFB">
        <w:rPr>
          <w:szCs w:val="22"/>
        </w:rPr>
        <w:t xml:space="preserve"> over a six-month period.  Equality noted that for electric and telephone utilities, the Public Utility Regulatory Act (PURA) contemplates a refund period of three months.</w:t>
      </w:r>
      <w:r w:rsidR="004C5DFB" w:rsidRPr="004C5DFB">
        <w:rPr>
          <w:rStyle w:val="FootnoteReference"/>
          <w:szCs w:val="22"/>
          <w:vertAlign w:val="superscript"/>
        </w:rPr>
        <w:footnoteReference w:id="9"/>
      </w:r>
      <w:r w:rsidR="000C4FD8">
        <w:rPr>
          <w:szCs w:val="22"/>
        </w:rPr>
        <w:t xml:space="preserve">  </w:t>
      </w:r>
      <w:r w:rsidR="004C5DFB">
        <w:rPr>
          <w:szCs w:val="22"/>
        </w:rPr>
        <w:t xml:space="preserve">Equality recognized that PURA is not controlling for water utilities but suggested that it may provide precedent in this situation.  Therefore, Equality argued that a six-month refund period was a fair compromise and that paying over six months would not jeopardize </w:t>
      </w:r>
      <w:r w:rsidR="00207AE6">
        <w:rPr>
          <w:szCs w:val="22"/>
        </w:rPr>
        <w:t>Douglas</w:t>
      </w:r>
      <w:r w:rsidR="004C5DFB">
        <w:rPr>
          <w:szCs w:val="22"/>
        </w:rPr>
        <w:t>’s financial integrity.</w:t>
      </w:r>
    </w:p>
    <w:p w:rsidR="004C5DFB" w:rsidRDefault="004C5DFB" w:rsidP="004C5DFB">
      <w:pPr>
        <w:widowControl/>
        <w:tabs>
          <w:tab w:val="center" w:pos="4680"/>
        </w:tabs>
        <w:spacing w:line="360" w:lineRule="auto"/>
        <w:ind w:firstLine="720"/>
        <w:jc w:val="both"/>
        <w:rPr>
          <w:szCs w:val="22"/>
        </w:rPr>
      </w:pPr>
    </w:p>
    <w:p w:rsidR="004C5DFB" w:rsidRDefault="004C5DFB" w:rsidP="004C5DFB">
      <w:pPr>
        <w:widowControl/>
        <w:tabs>
          <w:tab w:val="center" w:pos="4680"/>
        </w:tabs>
        <w:spacing w:line="360" w:lineRule="auto"/>
        <w:ind w:firstLine="720"/>
        <w:jc w:val="both"/>
        <w:rPr>
          <w:szCs w:val="22"/>
        </w:rPr>
      </w:pPr>
      <w:r>
        <w:rPr>
          <w:szCs w:val="22"/>
        </w:rPr>
        <w:t xml:space="preserve">Staff </w:t>
      </w:r>
      <w:r w:rsidR="00AC204A">
        <w:rPr>
          <w:szCs w:val="22"/>
        </w:rPr>
        <w:t>stated</w:t>
      </w:r>
      <w:r w:rsidR="00CC7CC8">
        <w:rPr>
          <w:szCs w:val="22"/>
        </w:rPr>
        <w:t xml:space="preserve"> that there is currently no Commission precedent regarding the appropriate time period</w:t>
      </w:r>
      <w:r w:rsidR="004F0B01">
        <w:rPr>
          <w:szCs w:val="22"/>
        </w:rPr>
        <w:t>s</w:t>
      </w:r>
      <w:r w:rsidR="00CC7CC8">
        <w:rPr>
          <w:szCs w:val="22"/>
        </w:rPr>
        <w:t xml:space="preserve"> for a water and sewer utility to make refunds to its customers.  Staff also noted that time periods set out for electric and telecommunications utilities </w:t>
      </w:r>
      <w:r w:rsidR="004F0B01">
        <w:rPr>
          <w:szCs w:val="22"/>
        </w:rPr>
        <w:t xml:space="preserve">to make refunds </w:t>
      </w:r>
      <w:r w:rsidR="00CC7CC8">
        <w:rPr>
          <w:szCs w:val="22"/>
        </w:rPr>
        <w:t xml:space="preserve">may not be appropriate time periods </w:t>
      </w:r>
      <w:r w:rsidR="004F0B01">
        <w:rPr>
          <w:szCs w:val="22"/>
        </w:rPr>
        <w:t xml:space="preserve">to apply to </w:t>
      </w:r>
      <w:r w:rsidR="00CC7CC8">
        <w:rPr>
          <w:szCs w:val="22"/>
        </w:rPr>
        <w:t>water and sewer utilities</w:t>
      </w:r>
      <w:r w:rsidR="004F0B01">
        <w:rPr>
          <w:szCs w:val="22"/>
        </w:rPr>
        <w:t xml:space="preserve">.  Staff argued that water and sewer utilities are </w:t>
      </w:r>
      <w:r w:rsidR="00207AE6">
        <w:rPr>
          <w:szCs w:val="22"/>
        </w:rPr>
        <w:t xml:space="preserve">usually </w:t>
      </w:r>
      <w:r w:rsidR="00CC7CC8">
        <w:rPr>
          <w:szCs w:val="22"/>
        </w:rPr>
        <w:t xml:space="preserve">smaller companies, and the refunds are likely to make up a much larger percentage of </w:t>
      </w:r>
      <w:r w:rsidR="004F0B01">
        <w:rPr>
          <w:szCs w:val="22"/>
        </w:rPr>
        <w:t xml:space="preserve">a </w:t>
      </w:r>
      <w:r w:rsidR="00CC7CC8">
        <w:rPr>
          <w:szCs w:val="22"/>
        </w:rPr>
        <w:t>smaller utilit</w:t>
      </w:r>
      <w:r w:rsidR="004F0B01">
        <w:rPr>
          <w:szCs w:val="22"/>
        </w:rPr>
        <w:t>y’s</w:t>
      </w:r>
      <w:r w:rsidR="00CC7CC8">
        <w:rPr>
          <w:szCs w:val="22"/>
        </w:rPr>
        <w:t xml:space="preserve"> revenues.  Staff recommended a six-month refund period but stated that it would be open to a </w:t>
      </w:r>
      <w:r w:rsidR="004F0B01">
        <w:rPr>
          <w:szCs w:val="22"/>
        </w:rPr>
        <w:t>12 or 15</w:t>
      </w:r>
      <w:r w:rsidR="00CC7CC8">
        <w:rPr>
          <w:szCs w:val="22"/>
        </w:rPr>
        <w:t xml:space="preserve"> month period if that would be necessary for </w:t>
      </w:r>
      <w:r w:rsidR="00207AE6">
        <w:rPr>
          <w:szCs w:val="22"/>
        </w:rPr>
        <w:t>Douglas</w:t>
      </w:r>
      <w:r w:rsidR="00CC7CC8">
        <w:rPr>
          <w:szCs w:val="22"/>
        </w:rPr>
        <w:t>’s financial integrity.</w:t>
      </w:r>
      <w:r w:rsidR="00AC204A" w:rsidRPr="00AC204A">
        <w:rPr>
          <w:rStyle w:val="FootnoteReference"/>
          <w:szCs w:val="22"/>
          <w:vertAlign w:val="superscript"/>
        </w:rPr>
        <w:footnoteReference w:id="10"/>
      </w:r>
      <w:r w:rsidR="00CC7CC8">
        <w:rPr>
          <w:szCs w:val="22"/>
        </w:rPr>
        <w:t xml:space="preserve">  However, Staff noted that </w:t>
      </w:r>
      <w:r w:rsidR="00207AE6">
        <w:rPr>
          <w:szCs w:val="22"/>
        </w:rPr>
        <w:t xml:space="preserve">the refunds should be </w:t>
      </w:r>
      <w:r w:rsidR="004F0B01">
        <w:rPr>
          <w:szCs w:val="22"/>
        </w:rPr>
        <w:t>made</w:t>
      </w:r>
      <w:r w:rsidR="00207AE6">
        <w:rPr>
          <w:szCs w:val="22"/>
        </w:rPr>
        <w:t xml:space="preserve"> </w:t>
      </w:r>
      <w:r w:rsidR="00CC7CC8">
        <w:rPr>
          <w:szCs w:val="22"/>
        </w:rPr>
        <w:t xml:space="preserve">as </w:t>
      </w:r>
      <w:r w:rsidR="003F77E0">
        <w:rPr>
          <w:szCs w:val="22"/>
        </w:rPr>
        <w:t>soon</w:t>
      </w:r>
      <w:r w:rsidR="00CC7CC8">
        <w:rPr>
          <w:szCs w:val="22"/>
        </w:rPr>
        <w:t xml:space="preserve"> as possible because </w:t>
      </w:r>
      <w:r w:rsidR="00207AE6">
        <w:rPr>
          <w:szCs w:val="22"/>
        </w:rPr>
        <w:t>this case</w:t>
      </w:r>
      <w:r w:rsidR="00CC7CC8">
        <w:rPr>
          <w:szCs w:val="22"/>
        </w:rPr>
        <w:t xml:space="preserve"> has been pending for so long.  </w:t>
      </w:r>
    </w:p>
    <w:p w:rsidR="008F0076" w:rsidRDefault="008F0076" w:rsidP="004C5DFB">
      <w:pPr>
        <w:widowControl/>
        <w:tabs>
          <w:tab w:val="center" w:pos="4680"/>
        </w:tabs>
        <w:spacing w:line="360" w:lineRule="auto"/>
        <w:ind w:firstLine="720"/>
        <w:jc w:val="both"/>
        <w:rPr>
          <w:szCs w:val="22"/>
        </w:rPr>
      </w:pPr>
    </w:p>
    <w:p w:rsidR="008F0076" w:rsidRDefault="00207AE6" w:rsidP="004C5DFB">
      <w:pPr>
        <w:widowControl/>
        <w:tabs>
          <w:tab w:val="center" w:pos="4680"/>
        </w:tabs>
        <w:spacing w:line="360" w:lineRule="auto"/>
        <w:ind w:firstLine="720"/>
        <w:jc w:val="both"/>
        <w:rPr>
          <w:szCs w:val="22"/>
        </w:rPr>
      </w:pPr>
      <w:r>
        <w:rPr>
          <w:szCs w:val="22"/>
        </w:rPr>
        <w:t>Douglas</w:t>
      </w:r>
      <w:r w:rsidR="008F0076">
        <w:rPr>
          <w:szCs w:val="22"/>
        </w:rPr>
        <w:t xml:space="preserve"> agreed with Staff that it would be inappropriate to apply the refund time periods for electric and telecommunications utilities to water and sewer utilities because they are regulated under different codes and are not comparable companies.  </w:t>
      </w:r>
      <w:r>
        <w:rPr>
          <w:szCs w:val="22"/>
        </w:rPr>
        <w:t>Douglas</w:t>
      </w:r>
      <w:r w:rsidR="008F0076">
        <w:rPr>
          <w:szCs w:val="22"/>
        </w:rPr>
        <w:t xml:space="preserve"> also argued that it would be inappropriate to shorten the refund period to be less than the period of time that the overcharges were made because </w:t>
      </w:r>
      <w:r w:rsidR="00AC204A">
        <w:rPr>
          <w:szCs w:val="22"/>
        </w:rPr>
        <w:t xml:space="preserve">that would require </w:t>
      </w:r>
      <w:r w:rsidR="00C21EEB">
        <w:rPr>
          <w:szCs w:val="22"/>
        </w:rPr>
        <w:t>Douglas</w:t>
      </w:r>
      <w:r w:rsidR="00AC204A">
        <w:rPr>
          <w:szCs w:val="22"/>
        </w:rPr>
        <w:t xml:space="preserve"> to </w:t>
      </w:r>
      <w:r w:rsidR="00C21EEB">
        <w:rPr>
          <w:szCs w:val="22"/>
        </w:rPr>
        <w:t>pay</w:t>
      </w:r>
      <w:r w:rsidR="00AC204A">
        <w:rPr>
          <w:szCs w:val="22"/>
        </w:rPr>
        <w:t xml:space="preserve"> </w:t>
      </w:r>
      <w:r w:rsidR="00C21EEB">
        <w:rPr>
          <w:szCs w:val="22"/>
        </w:rPr>
        <w:t>r</w:t>
      </w:r>
      <w:r w:rsidR="008F0076">
        <w:rPr>
          <w:szCs w:val="22"/>
        </w:rPr>
        <w:t xml:space="preserve">efunds while </w:t>
      </w:r>
      <w:r w:rsidR="00C21EEB">
        <w:rPr>
          <w:szCs w:val="22"/>
        </w:rPr>
        <w:t xml:space="preserve">simultaneously </w:t>
      </w:r>
      <w:r w:rsidR="008F0076">
        <w:rPr>
          <w:szCs w:val="22"/>
        </w:rPr>
        <w:t xml:space="preserve">charging lower rates </w:t>
      </w:r>
      <w:r w:rsidR="00C21EEB">
        <w:rPr>
          <w:szCs w:val="22"/>
        </w:rPr>
        <w:t>as well as</w:t>
      </w:r>
      <w:r w:rsidR="008F0076">
        <w:rPr>
          <w:szCs w:val="22"/>
        </w:rPr>
        <w:t xml:space="preserve"> </w:t>
      </w:r>
      <w:r w:rsidR="00C21EEB">
        <w:rPr>
          <w:szCs w:val="22"/>
        </w:rPr>
        <w:t>collecting surcharges</w:t>
      </w:r>
      <w:r w:rsidR="008F0076">
        <w:rPr>
          <w:szCs w:val="22"/>
        </w:rPr>
        <w:t xml:space="preserve"> over a longer time period than the refunds would be paid out.  </w:t>
      </w:r>
    </w:p>
    <w:p w:rsidR="008F0076" w:rsidRDefault="008F0076" w:rsidP="008F0076">
      <w:pPr>
        <w:widowControl/>
        <w:tabs>
          <w:tab w:val="center" w:pos="4680"/>
        </w:tabs>
        <w:spacing w:line="360" w:lineRule="auto"/>
        <w:rPr>
          <w:szCs w:val="22"/>
        </w:rPr>
      </w:pPr>
    </w:p>
    <w:p w:rsidR="00244A31" w:rsidRDefault="00C35CE6" w:rsidP="00C35CE6">
      <w:pPr>
        <w:pStyle w:val="ListParagraph"/>
        <w:numPr>
          <w:ilvl w:val="0"/>
          <w:numId w:val="46"/>
        </w:numPr>
        <w:tabs>
          <w:tab w:val="center" w:pos="4680"/>
        </w:tabs>
        <w:spacing w:line="360" w:lineRule="auto"/>
        <w:ind w:hanging="720"/>
        <w:rPr>
          <w:b/>
          <w:szCs w:val="22"/>
        </w:rPr>
      </w:pPr>
      <w:r>
        <w:rPr>
          <w:b/>
          <w:szCs w:val="22"/>
        </w:rPr>
        <w:t xml:space="preserve">The </w:t>
      </w:r>
      <w:r w:rsidR="00AC204A">
        <w:rPr>
          <w:b/>
          <w:szCs w:val="22"/>
        </w:rPr>
        <w:t>S</w:t>
      </w:r>
      <w:r>
        <w:rPr>
          <w:b/>
          <w:szCs w:val="22"/>
        </w:rPr>
        <w:t>tipulation</w:t>
      </w:r>
    </w:p>
    <w:p w:rsidR="00C35CE6" w:rsidRDefault="00C35CE6" w:rsidP="00C35CE6">
      <w:pPr>
        <w:tabs>
          <w:tab w:val="center" w:pos="4680"/>
        </w:tabs>
        <w:spacing w:line="360" w:lineRule="auto"/>
        <w:rPr>
          <w:b/>
          <w:szCs w:val="22"/>
        </w:rPr>
      </w:pPr>
    </w:p>
    <w:p w:rsidR="00C35CE6" w:rsidRDefault="00C35CE6" w:rsidP="00C35CE6">
      <w:pPr>
        <w:tabs>
          <w:tab w:val="center" w:pos="4680"/>
        </w:tabs>
        <w:spacing w:line="360" w:lineRule="auto"/>
        <w:ind w:firstLine="720"/>
        <w:jc w:val="both"/>
        <w:rPr>
          <w:szCs w:val="22"/>
        </w:rPr>
      </w:pPr>
      <w:r>
        <w:rPr>
          <w:szCs w:val="22"/>
        </w:rPr>
        <w:tab/>
        <w:t xml:space="preserve">The parties conferred and reached an agreement as to the </w:t>
      </w:r>
      <w:r w:rsidR="00C21EEB">
        <w:rPr>
          <w:szCs w:val="22"/>
        </w:rPr>
        <w:t xml:space="preserve">amounts of the </w:t>
      </w:r>
      <w:r>
        <w:rPr>
          <w:szCs w:val="22"/>
        </w:rPr>
        <w:t xml:space="preserve">refunds to be paid and the surcharges to be collected by </w:t>
      </w:r>
      <w:r w:rsidR="00207AE6">
        <w:rPr>
          <w:szCs w:val="22"/>
        </w:rPr>
        <w:t>Douglas</w:t>
      </w:r>
      <w:r>
        <w:rPr>
          <w:szCs w:val="22"/>
        </w:rPr>
        <w:t>, which are shown in the following table:</w:t>
      </w:r>
      <w:r w:rsidR="00F544B0" w:rsidRPr="00F544B0">
        <w:rPr>
          <w:rStyle w:val="FootnoteReference"/>
          <w:szCs w:val="22"/>
          <w:vertAlign w:val="superscript"/>
        </w:rPr>
        <w:footnoteReference w:id="11"/>
      </w:r>
    </w:p>
    <w:tbl>
      <w:tblPr>
        <w:tblStyle w:val="TableGrid"/>
        <w:tblW w:w="0" w:type="auto"/>
        <w:tblInd w:w="108" w:type="dxa"/>
        <w:tblLook w:val="04A0" w:firstRow="1" w:lastRow="0" w:firstColumn="1" w:lastColumn="0" w:noHBand="0" w:noVBand="1"/>
      </w:tblPr>
      <w:tblGrid>
        <w:gridCol w:w="4680"/>
        <w:gridCol w:w="4680"/>
      </w:tblGrid>
      <w:tr w:rsidR="00C35CE6" w:rsidTr="00647C3D">
        <w:tc>
          <w:tcPr>
            <w:tcW w:w="4680" w:type="dxa"/>
          </w:tcPr>
          <w:p w:rsidR="00C35CE6" w:rsidRPr="00C35CE6" w:rsidRDefault="00C35CE6" w:rsidP="00C35CE6">
            <w:pPr>
              <w:tabs>
                <w:tab w:val="center" w:pos="4680"/>
              </w:tabs>
              <w:spacing w:line="360" w:lineRule="auto"/>
              <w:rPr>
                <w:b/>
                <w:szCs w:val="22"/>
              </w:rPr>
            </w:pPr>
            <w:r w:rsidRPr="00C35CE6">
              <w:rPr>
                <w:b/>
                <w:szCs w:val="22"/>
              </w:rPr>
              <w:t xml:space="preserve">Customer </w:t>
            </w:r>
          </w:p>
        </w:tc>
        <w:tc>
          <w:tcPr>
            <w:tcW w:w="4680" w:type="dxa"/>
          </w:tcPr>
          <w:p w:rsidR="00C35CE6" w:rsidRPr="00C35CE6" w:rsidRDefault="00C35CE6" w:rsidP="00C35CE6">
            <w:pPr>
              <w:tabs>
                <w:tab w:val="center" w:pos="4680"/>
              </w:tabs>
              <w:spacing w:line="360" w:lineRule="auto"/>
              <w:rPr>
                <w:b/>
                <w:szCs w:val="22"/>
              </w:rPr>
            </w:pPr>
            <w:r w:rsidRPr="00C35CE6">
              <w:rPr>
                <w:b/>
                <w:szCs w:val="22"/>
              </w:rPr>
              <w:t>Amount</w:t>
            </w:r>
          </w:p>
        </w:tc>
      </w:tr>
      <w:tr w:rsidR="00C35CE6" w:rsidTr="00647C3D">
        <w:tc>
          <w:tcPr>
            <w:tcW w:w="4680" w:type="dxa"/>
          </w:tcPr>
          <w:p w:rsidR="00C35CE6" w:rsidRDefault="00C35CE6" w:rsidP="00C35CE6">
            <w:pPr>
              <w:tabs>
                <w:tab w:val="center" w:pos="4680"/>
              </w:tabs>
              <w:spacing w:line="360" w:lineRule="auto"/>
              <w:rPr>
                <w:szCs w:val="22"/>
              </w:rPr>
            </w:pPr>
            <w:r>
              <w:rPr>
                <w:szCs w:val="22"/>
              </w:rPr>
              <w:t xml:space="preserve">Haverstock </w:t>
            </w:r>
            <w:r w:rsidR="00AC204A">
              <w:rPr>
                <w:szCs w:val="22"/>
              </w:rPr>
              <w:t xml:space="preserve">Hills </w:t>
            </w:r>
            <w:r>
              <w:rPr>
                <w:szCs w:val="22"/>
              </w:rPr>
              <w:t>Apartments</w:t>
            </w:r>
            <w:r w:rsidRPr="00C35CE6">
              <w:rPr>
                <w:rStyle w:val="FootnoteReference"/>
                <w:szCs w:val="22"/>
                <w:vertAlign w:val="superscript"/>
              </w:rPr>
              <w:footnoteReference w:id="12"/>
            </w:r>
          </w:p>
        </w:tc>
        <w:tc>
          <w:tcPr>
            <w:tcW w:w="4680" w:type="dxa"/>
          </w:tcPr>
          <w:p w:rsidR="00C35CE6" w:rsidRDefault="00C35CE6" w:rsidP="00E605F1">
            <w:pPr>
              <w:tabs>
                <w:tab w:val="center" w:pos="4680"/>
              </w:tabs>
              <w:spacing w:line="360" w:lineRule="auto"/>
              <w:rPr>
                <w:szCs w:val="22"/>
              </w:rPr>
            </w:pPr>
            <w:r>
              <w:rPr>
                <w:szCs w:val="22"/>
              </w:rPr>
              <w:t>$</w:t>
            </w:r>
            <w:r w:rsidR="00E605F1">
              <w:rPr>
                <w:szCs w:val="22"/>
              </w:rPr>
              <w:t>389,689.28</w:t>
            </w:r>
          </w:p>
        </w:tc>
      </w:tr>
      <w:tr w:rsidR="00C35CE6" w:rsidTr="00647C3D">
        <w:tc>
          <w:tcPr>
            <w:tcW w:w="4680" w:type="dxa"/>
          </w:tcPr>
          <w:p w:rsidR="00C35CE6" w:rsidRDefault="00C35CE6" w:rsidP="00C35CE6">
            <w:pPr>
              <w:tabs>
                <w:tab w:val="center" w:pos="4680"/>
              </w:tabs>
              <w:spacing w:line="360" w:lineRule="auto"/>
              <w:rPr>
                <w:szCs w:val="22"/>
              </w:rPr>
            </w:pPr>
            <w:r>
              <w:rPr>
                <w:szCs w:val="22"/>
              </w:rPr>
              <w:t>Customers with 2” meters</w:t>
            </w:r>
          </w:p>
        </w:tc>
        <w:tc>
          <w:tcPr>
            <w:tcW w:w="4680" w:type="dxa"/>
          </w:tcPr>
          <w:p w:rsidR="00C35CE6" w:rsidRDefault="00C35CE6" w:rsidP="00E605F1">
            <w:pPr>
              <w:tabs>
                <w:tab w:val="center" w:pos="4680"/>
              </w:tabs>
              <w:spacing w:line="360" w:lineRule="auto"/>
              <w:rPr>
                <w:szCs w:val="22"/>
              </w:rPr>
            </w:pPr>
            <w:r>
              <w:rPr>
                <w:szCs w:val="22"/>
              </w:rPr>
              <w:t>($</w:t>
            </w:r>
            <w:r w:rsidR="00E605F1">
              <w:rPr>
                <w:szCs w:val="22"/>
              </w:rPr>
              <w:t>18,044.52</w:t>
            </w:r>
            <w:r>
              <w:rPr>
                <w:szCs w:val="22"/>
              </w:rPr>
              <w:t>)</w:t>
            </w:r>
          </w:p>
        </w:tc>
      </w:tr>
      <w:tr w:rsidR="00C35CE6" w:rsidTr="00647C3D">
        <w:tc>
          <w:tcPr>
            <w:tcW w:w="4680" w:type="dxa"/>
          </w:tcPr>
          <w:p w:rsidR="00C35CE6" w:rsidRDefault="00C35CE6" w:rsidP="00C35CE6">
            <w:pPr>
              <w:tabs>
                <w:tab w:val="center" w:pos="4680"/>
              </w:tabs>
              <w:spacing w:line="360" w:lineRule="auto"/>
              <w:rPr>
                <w:szCs w:val="22"/>
              </w:rPr>
            </w:pPr>
            <w:r>
              <w:rPr>
                <w:szCs w:val="22"/>
              </w:rPr>
              <w:t>Customers with 1” meters</w:t>
            </w:r>
          </w:p>
        </w:tc>
        <w:tc>
          <w:tcPr>
            <w:tcW w:w="4680" w:type="dxa"/>
          </w:tcPr>
          <w:p w:rsidR="00C35CE6" w:rsidRDefault="00C35CE6" w:rsidP="00C35CE6">
            <w:pPr>
              <w:tabs>
                <w:tab w:val="center" w:pos="4680"/>
              </w:tabs>
              <w:spacing w:line="360" w:lineRule="auto"/>
              <w:rPr>
                <w:szCs w:val="22"/>
              </w:rPr>
            </w:pPr>
            <w:r>
              <w:rPr>
                <w:szCs w:val="22"/>
              </w:rPr>
              <w:t>($836.30)</w:t>
            </w:r>
          </w:p>
        </w:tc>
      </w:tr>
      <w:tr w:rsidR="00C35CE6" w:rsidTr="00647C3D">
        <w:tc>
          <w:tcPr>
            <w:tcW w:w="4680" w:type="dxa"/>
          </w:tcPr>
          <w:p w:rsidR="00C35CE6" w:rsidRDefault="00C35CE6" w:rsidP="00C35CE6">
            <w:pPr>
              <w:tabs>
                <w:tab w:val="center" w:pos="4680"/>
              </w:tabs>
              <w:spacing w:line="360" w:lineRule="auto"/>
              <w:rPr>
                <w:szCs w:val="22"/>
              </w:rPr>
            </w:pPr>
            <w:r>
              <w:rPr>
                <w:szCs w:val="22"/>
              </w:rPr>
              <w:t>Customers with 5/8” meters</w:t>
            </w:r>
          </w:p>
        </w:tc>
        <w:tc>
          <w:tcPr>
            <w:tcW w:w="4680" w:type="dxa"/>
          </w:tcPr>
          <w:p w:rsidR="00C35CE6" w:rsidRDefault="00C35CE6" w:rsidP="00C35CE6">
            <w:pPr>
              <w:tabs>
                <w:tab w:val="center" w:pos="4680"/>
              </w:tabs>
              <w:spacing w:line="360" w:lineRule="auto"/>
              <w:rPr>
                <w:szCs w:val="22"/>
              </w:rPr>
            </w:pPr>
            <w:r>
              <w:rPr>
                <w:szCs w:val="22"/>
              </w:rPr>
              <w:t>($72,474.73)</w:t>
            </w:r>
          </w:p>
        </w:tc>
      </w:tr>
      <w:tr w:rsidR="00C35CE6" w:rsidTr="00647C3D">
        <w:tc>
          <w:tcPr>
            <w:tcW w:w="4680" w:type="dxa"/>
          </w:tcPr>
          <w:p w:rsidR="00C35CE6" w:rsidRPr="00E712FA" w:rsidRDefault="00CA7331" w:rsidP="00C35CE6">
            <w:pPr>
              <w:tabs>
                <w:tab w:val="center" w:pos="4680"/>
              </w:tabs>
              <w:spacing w:line="360" w:lineRule="auto"/>
              <w:jc w:val="right"/>
              <w:rPr>
                <w:b/>
                <w:szCs w:val="22"/>
              </w:rPr>
            </w:pPr>
            <w:r>
              <w:rPr>
                <w:b/>
                <w:szCs w:val="22"/>
              </w:rPr>
              <w:t>Total</w:t>
            </w:r>
          </w:p>
        </w:tc>
        <w:tc>
          <w:tcPr>
            <w:tcW w:w="4680" w:type="dxa"/>
          </w:tcPr>
          <w:p w:rsidR="00C35CE6" w:rsidRDefault="00C35CE6" w:rsidP="00E605F1">
            <w:pPr>
              <w:tabs>
                <w:tab w:val="center" w:pos="4680"/>
              </w:tabs>
              <w:spacing w:line="360" w:lineRule="auto"/>
              <w:rPr>
                <w:szCs w:val="22"/>
              </w:rPr>
            </w:pPr>
            <w:r>
              <w:rPr>
                <w:szCs w:val="22"/>
              </w:rPr>
              <w:t>$</w:t>
            </w:r>
            <w:r w:rsidR="00E605F1">
              <w:rPr>
                <w:szCs w:val="22"/>
              </w:rPr>
              <w:t>298,333.73</w:t>
            </w:r>
          </w:p>
        </w:tc>
      </w:tr>
    </w:tbl>
    <w:p w:rsidR="00C35CE6" w:rsidRDefault="00C35CE6" w:rsidP="00C35CE6">
      <w:pPr>
        <w:tabs>
          <w:tab w:val="center" w:pos="4680"/>
        </w:tabs>
        <w:spacing w:line="360" w:lineRule="auto"/>
        <w:ind w:firstLine="720"/>
        <w:rPr>
          <w:szCs w:val="22"/>
        </w:rPr>
      </w:pPr>
    </w:p>
    <w:p w:rsidR="008F0076" w:rsidRDefault="008F0076" w:rsidP="008F0076">
      <w:pPr>
        <w:pStyle w:val="ListParagraph"/>
        <w:numPr>
          <w:ilvl w:val="0"/>
          <w:numId w:val="46"/>
        </w:numPr>
        <w:tabs>
          <w:tab w:val="center" w:pos="4680"/>
        </w:tabs>
        <w:spacing w:line="360" w:lineRule="auto"/>
        <w:ind w:hanging="720"/>
        <w:rPr>
          <w:b/>
          <w:szCs w:val="22"/>
        </w:rPr>
      </w:pPr>
      <w:r>
        <w:rPr>
          <w:b/>
          <w:szCs w:val="22"/>
        </w:rPr>
        <w:t xml:space="preserve">Analysis </w:t>
      </w:r>
    </w:p>
    <w:p w:rsidR="008F0076" w:rsidRDefault="008F0076" w:rsidP="008F0076">
      <w:pPr>
        <w:tabs>
          <w:tab w:val="center" w:pos="4680"/>
        </w:tabs>
        <w:spacing w:line="360" w:lineRule="auto"/>
        <w:rPr>
          <w:b/>
          <w:szCs w:val="22"/>
        </w:rPr>
      </w:pPr>
    </w:p>
    <w:p w:rsidR="00F544B0" w:rsidRDefault="00F6028F" w:rsidP="00F544B0">
      <w:pPr>
        <w:tabs>
          <w:tab w:val="center" w:pos="4680"/>
        </w:tabs>
        <w:spacing w:line="360" w:lineRule="auto"/>
        <w:ind w:firstLine="720"/>
        <w:jc w:val="both"/>
        <w:rPr>
          <w:szCs w:val="22"/>
        </w:rPr>
      </w:pPr>
      <w:r>
        <w:rPr>
          <w:szCs w:val="22"/>
        </w:rPr>
        <w:t xml:space="preserve">Based on the parties’ arguments and prior cases involving refunds made by sewer and water utilities, it appears that the appropriate time period for refunds </w:t>
      </w:r>
      <w:r w:rsidR="00CA7331">
        <w:rPr>
          <w:szCs w:val="22"/>
        </w:rPr>
        <w:t xml:space="preserve">and surcharges </w:t>
      </w:r>
      <w:r w:rsidR="00647C3D">
        <w:rPr>
          <w:szCs w:val="22"/>
        </w:rPr>
        <w:t>is</w:t>
      </w:r>
      <w:r>
        <w:rPr>
          <w:szCs w:val="22"/>
        </w:rPr>
        <w:t xml:space="preserve"> determined on a case-by-case basis.  </w:t>
      </w:r>
      <w:r w:rsidR="00F544B0">
        <w:rPr>
          <w:szCs w:val="22"/>
        </w:rPr>
        <w:t>In</w:t>
      </w:r>
      <w:r w:rsidR="00E712FA">
        <w:rPr>
          <w:szCs w:val="22"/>
        </w:rPr>
        <w:t xml:space="preserve"> the </w:t>
      </w:r>
      <w:r w:rsidR="00E712FA">
        <w:rPr>
          <w:i/>
          <w:szCs w:val="22"/>
        </w:rPr>
        <w:t>Application of HHJ, Inc. d/b/a Decker Utilities to Change Water and Sewer Rates</w:t>
      </w:r>
      <w:r w:rsidR="00E712FA">
        <w:rPr>
          <w:szCs w:val="22"/>
        </w:rPr>
        <w:t xml:space="preserve">, </w:t>
      </w:r>
      <w:r w:rsidR="00F544B0">
        <w:rPr>
          <w:szCs w:val="22"/>
        </w:rPr>
        <w:t>the ALJ’s recommended rates were less than the rates that HHJ</w:t>
      </w:r>
      <w:r w:rsidR="00E712FA">
        <w:rPr>
          <w:szCs w:val="22"/>
        </w:rPr>
        <w:t>, Inc. d/b/a Decker Utilities (HHJ)</w:t>
      </w:r>
      <w:r w:rsidR="00F544B0">
        <w:rPr>
          <w:szCs w:val="22"/>
        </w:rPr>
        <w:t xml:space="preserve"> had been charging during the pendency of its application.  Therefore, the TCEQ ordered HHJ to pay refunds of the difference to its customers.  In that case, the TCEQ ordered HHJ to pay refunds of $12.58 per customer per month for the water system and $21.94 per customer per month for the sewer system over 24 months.</w:t>
      </w:r>
      <w:r w:rsidR="00F544B0" w:rsidRPr="00B8235A">
        <w:rPr>
          <w:rStyle w:val="FootnoteReference"/>
          <w:szCs w:val="22"/>
          <w:vertAlign w:val="superscript"/>
        </w:rPr>
        <w:footnoteReference w:id="13"/>
      </w:r>
      <w:r w:rsidR="00F544B0">
        <w:rPr>
          <w:szCs w:val="22"/>
        </w:rPr>
        <w:t xml:space="preserve">  Overcharges had been made over a 38-month period.</w:t>
      </w:r>
      <w:r w:rsidR="00F544B0" w:rsidRPr="007A2B37">
        <w:rPr>
          <w:rStyle w:val="FootnoteReference"/>
          <w:szCs w:val="22"/>
          <w:vertAlign w:val="superscript"/>
        </w:rPr>
        <w:footnoteReference w:id="14"/>
      </w:r>
      <w:r w:rsidR="00F544B0">
        <w:rPr>
          <w:szCs w:val="22"/>
        </w:rPr>
        <w:t xml:space="preserve">  </w:t>
      </w:r>
    </w:p>
    <w:p w:rsidR="00F544B0" w:rsidRDefault="00F544B0" w:rsidP="00B8235A">
      <w:pPr>
        <w:tabs>
          <w:tab w:val="center" w:pos="4680"/>
        </w:tabs>
        <w:spacing w:line="360" w:lineRule="auto"/>
        <w:ind w:firstLine="720"/>
        <w:jc w:val="both"/>
        <w:rPr>
          <w:szCs w:val="22"/>
        </w:rPr>
      </w:pPr>
    </w:p>
    <w:p w:rsidR="008F0076" w:rsidRPr="00F6028F" w:rsidRDefault="00F6028F" w:rsidP="00B8235A">
      <w:pPr>
        <w:tabs>
          <w:tab w:val="center" w:pos="4680"/>
        </w:tabs>
        <w:spacing w:line="360" w:lineRule="auto"/>
        <w:ind w:firstLine="720"/>
        <w:jc w:val="both"/>
        <w:rPr>
          <w:szCs w:val="22"/>
        </w:rPr>
      </w:pPr>
      <w:r>
        <w:rPr>
          <w:szCs w:val="22"/>
        </w:rPr>
        <w:t xml:space="preserve">In the </w:t>
      </w:r>
      <w:r>
        <w:rPr>
          <w:i/>
          <w:szCs w:val="22"/>
        </w:rPr>
        <w:t>Application of Suburban Utility Company for a Water Rate/Tariff Change Under Certificate of Convenience and Necessity No. 10835 in Harris County, Texas</w:t>
      </w:r>
      <w:r>
        <w:rPr>
          <w:szCs w:val="22"/>
        </w:rPr>
        <w:t xml:space="preserve">, the Commission denied Suburban Utility Company’s (Suburban) application </w:t>
      </w:r>
      <w:r w:rsidR="00F544B0">
        <w:rPr>
          <w:szCs w:val="22"/>
        </w:rPr>
        <w:t xml:space="preserve">to increase its rates </w:t>
      </w:r>
      <w:r>
        <w:rPr>
          <w:szCs w:val="22"/>
        </w:rPr>
        <w:t>and ordered it to make refunds to its customers of a monthly surcharge and miscellaneous fees.</w:t>
      </w:r>
      <w:r w:rsidRPr="00835AEE">
        <w:rPr>
          <w:rStyle w:val="FootnoteReference"/>
          <w:szCs w:val="22"/>
          <w:vertAlign w:val="superscript"/>
        </w:rPr>
        <w:footnoteReference w:id="15"/>
      </w:r>
      <w:r w:rsidR="00835AEE">
        <w:rPr>
          <w:szCs w:val="22"/>
        </w:rPr>
        <w:t xml:space="preserve">  Suburban paid the entirety of the refunds owed over the course of three months.</w:t>
      </w:r>
      <w:r w:rsidR="00835AEE" w:rsidRPr="00835AEE">
        <w:rPr>
          <w:rStyle w:val="FootnoteReference"/>
          <w:szCs w:val="22"/>
          <w:vertAlign w:val="superscript"/>
        </w:rPr>
        <w:footnoteReference w:id="16"/>
      </w:r>
      <w:r w:rsidR="00835AEE">
        <w:rPr>
          <w:szCs w:val="22"/>
        </w:rPr>
        <w:t xml:space="preserve">  The total amount of refunds paid was $184,790.37.</w:t>
      </w:r>
      <w:r w:rsidR="00835AEE" w:rsidRPr="00835AEE">
        <w:rPr>
          <w:rStyle w:val="FootnoteReference"/>
          <w:szCs w:val="22"/>
          <w:vertAlign w:val="superscript"/>
        </w:rPr>
        <w:footnoteReference w:id="17"/>
      </w:r>
    </w:p>
    <w:p w:rsidR="007A2B37" w:rsidRDefault="007A2B37" w:rsidP="00B8235A">
      <w:pPr>
        <w:tabs>
          <w:tab w:val="center" w:pos="4680"/>
        </w:tabs>
        <w:spacing w:line="360" w:lineRule="auto"/>
        <w:ind w:firstLine="720"/>
        <w:jc w:val="both"/>
        <w:rPr>
          <w:szCs w:val="22"/>
        </w:rPr>
      </w:pPr>
    </w:p>
    <w:p w:rsidR="007A2B37" w:rsidRDefault="007A2B37" w:rsidP="00B8235A">
      <w:pPr>
        <w:tabs>
          <w:tab w:val="center" w:pos="4680"/>
        </w:tabs>
        <w:spacing w:line="360" w:lineRule="auto"/>
        <w:ind w:firstLine="720"/>
        <w:jc w:val="both"/>
        <w:rPr>
          <w:szCs w:val="22"/>
        </w:rPr>
      </w:pPr>
      <w:r>
        <w:rPr>
          <w:szCs w:val="22"/>
        </w:rPr>
        <w:t xml:space="preserve">These two cases illustrate the wide range of appropriate time periods for a water and sewer utility to make refunds to its customers after collecting overcharges.  In this case, the ALJ finds that it is appropriate for </w:t>
      </w:r>
      <w:r w:rsidR="00207AE6">
        <w:rPr>
          <w:szCs w:val="22"/>
        </w:rPr>
        <w:t>Douglas</w:t>
      </w:r>
      <w:r>
        <w:rPr>
          <w:szCs w:val="22"/>
        </w:rPr>
        <w:t xml:space="preserve"> to pay refunds over a </w:t>
      </w:r>
      <w:r w:rsidR="00D93D50">
        <w:rPr>
          <w:szCs w:val="22"/>
        </w:rPr>
        <w:t>p</w:t>
      </w:r>
      <w:r>
        <w:rPr>
          <w:szCs w:val="22"/>
        </w:rPr>
        <w:t xml:space="preserve">eriod of 12 months.  Six months, as suggested by Staff and Equality, will require </w:t>
      </w:r>
      <w:r w:rsidR="00207AE6">
        <w:rPr>
          <w:szCs w:val="22"/>
        </w:rPr>
        <w:t>Douglas</w:t>
      </w:r>
      <w:r>
        <w:rPr>
          <w:szCs w:val="22"/>
        </w:rPr>
        <w:t xml:space="preserve"> to pay its customers at a higher rate each month, which </w:t>
      </w:r>
      <w:r w:rsidR="00CA7331">
        <w:rPr>
          <w:szCs w:val="22"/>
        </w:rPr>
        <w:t>could</w:t>
      </w:r>
      <w:r>
        <w:rPr>
          <w:szCs w:val="22"/>
        </w:rPr>
        <w:t xml:space="preserve"> impact its ability to rehabilitate its sewer system</w:t>
      </w:r>
      <w:r w:rsidR="00AC204A">
        <w:rPr>
          <w:szCs w:val="22"/>
        </w:rPr>
        <w:t xml:space="preserve"> as planned</w:t>
      </w:r>
      <w:r>
        <w:rPr>
          <w:szCs w:val="22"/>
        </w:rPr>
        <w:t xml:space="preserve">. </w:t>
      </w:r>
      <w:r w:rsidR="00CA7331">
        <w:rPr>
          <w:szCs w:val="22"/>
        </w:rPr>
        <w:t xml:space="preserve"> The ALJ finds that a time period longer than 12 months would unduly lengthen the amount of time that the customers have been owed money, since the proposed rates were charged for 27 months, and Douglas has continued to have the benefit of the overcharges for an additional eight months </w:t>
      </w:r>
      <w:r w:rsidR="00647C3D">
        <w:rPr>
          <w:szCs w:val="22"/>
        </w:rPr>
        <w:t>after it returned t</w:t>
      </w:r>
      <w:r w:rsidR="00CA7331">
        <w:rPr>
          <w:szCs w:val="22"/>
        </w:rPr>
        <w:t xml:space="preserve">o charging the pre-Application rates.  </w:t>
      </w:r>
      <w:r>
        <w:rPr>
          <w:szCs w:val="22"/>
        </w:rPr>
        <w:t xml:space="preserve">The ALJ also finds that it is appropriate for </w:t>
      </w:r>
      <w:r w:rsidR="00207AE6">
        <w:rPr>
          <w:szCs w:val="22"/>
        </w:rPr>
        <w:t>Douglas</w:t>
      </w:r>
      <w:r>
        <w:rPr>
          <w:szCs w:val="22"/>
        </w:rPr>
        <w:t xml:space="preserve"> to collect surcharges from the customers that paid less under the Application rates over the course of </w:t>
      </w:r>
      <w:r w:rsidR="00C8064C">
        <w:rPr>
          <w:szCs w:val="22"/>
        </w:rPr>
        <w:t>24</w:t>
      </w:r>
      <w:r>
        <w:rPr>
          <w:szCs w:val="22"/>
        </w:rPr>
        <w:t xml:space="preserve"> months.  This longer time period is necessary because these customers are individual residential customers who may not be able to afford to pay higher surcharges over a short</w:t>
      </w:r>
      <w:r w:rsidR="00D93D50">
        <w:rPr>
          <w:szCs w:val="22"/>
        </w:rPr>
        <w:t>er</w:t>
      </w:r>
      <w:r>
        <w:rPr>
          <w:szCs w:val="22"/>
        </w:rPr>
        <w:t xml:space="preserve"> period of time.  </w:t>
      </w:r>
    </w:p>
    <w:p w:rsidR="00C9242F" w:rsidRDefault="00C9242F" w:rsidP="00C9242F">
      <w:pPr>
        <w:tabs>
          <w:tab w:val="center" w:pos="4680"/>
        </w:tabs>
        <w:spacing w:line="360" w:lineRule="auto"/>
        <w:jc w:val="both"/>
        <w:rPr>
          <w:szCs w:val="22"/>
        </w:rPr>
      </w:pPr>
    </w:p>
    <w:p w:rsidR="00C9242F" w:rsidRDefault="00C9242F" w:rsidP="00C9242F">
      <w:pPr>
        <w:tabs>
          <w:tab w:val="center" w:pos="4680"/>
        </w:tabs>
        <w:spacing w:line="360" w:lineRule="auto"/>
        <w:jc w:val="center"/>
        <w:rPr>
          <w:szCs w:val="22"/>
        </w:rPr>
      </w:pPr>
      <w:r>
        <w:rPr>
          <w:b/>
          <w:szCs w:val="22"/>
        </w:rPr>
        <w:t>IV.  RECOMMENDATION</w:t>
      </w:r>
    </w:p>
    <w:p w:rsidR="00C9242F" w:rsidRDefault="00C9242F" w:rsidP="00C9242F">
      <w:pPr>
        <w:tabs>
          <w:tab w:val="center" w:pos="4680"/>
        </w:tabs>
        <w:spacing w:line="360" w:lineRule="auto"/>
        <w:rPr>
          <w:szCs w:val="22"/>
        </w:rPr>
      </w:pPr>
    </w:p>
    <w:p w:rsidR="00C9242F" w:rsidRPr="00C9242F" w:rsidRDefault="00C9242F" w:rsidP="00AA68E0">
      <w:pPr>
        <w:tabs>
          <w:tab w:val="center" w:pos="4680"/>
        </w:tabs>
        <w:spacing w:line="360" w:lineRule="auto"/>
        <w:ind w:firstLine="720"/>
        <w:jc w:val="both"/>
        <w:rPr>
          <w:szCs w:val="22"/>
        </w:rPr>
      </w:pPr>
      <w:r>
        <w:rPr>
          <w:szCs w:val="22"/>
        </w:rPr>
        <w:tab/>
        <w:t>The ALJ recommends that the Commission order D</w:t>
      </w:r>
      <w:r w:rsidR="00AA68E0">
        <w:rPr>
          <w:szCs w:val="22"/>
        </w:rPr>
        <w:t>ouglas to pay refunds over a            12-</w:t>
      </w:r>
      <w:r>
        <w:rPr>
          <w:szCs w:val="22"/>
        </w:rPr>
        <w:t>month period and to collect surcharges over a 24-month period.</w:t>
      </w:r>
    </w:p>
    <w:p w:rsidR="00835AEE" w:rsidRDefault="00835AEE" w:rsidP="00AF1BC5">
      <w:pPr>
        <w:tabs>
          <w:tab w:val="center" w:pos="4680"/>
        </w:tabs>
        <w:spacing w:line="360" w:lineRule="auto"/>
        <w:rPr>
          <w:szCs w:val="22"/>
        </w:rPr>
      </w:pPr>
    </w:p>
    <w:p w:rsidR="002A709E" w:rsidRDefault="002A709E" w:rsidP="00AF1BC5">
      <w:pPr>
        <w:pStyle w:val="Heading1"/>
        <w:spacing w:after="0"/>
        <w:jc w:val="left"/>
        <w:rPr>
          <w:b/>
          <w:bCs w:val="0"/>
        </w:rPr>
      </w:pPr>
      <w:bookmarkStart w:id="5" w:name="_Toc412020943"/>
    </w:p>
    <w:p w:rsidR="002A709E" w:rsidRPr="002A709E" w:rsidRDefault="002A709E" w:rsidP="002A709E"/>
    <w:p w:rsidR="002A709E" w:rsidRDefault="002A709E" w:rsidP="00AF1BC5">
      <w:pPr>
        <w:pStyle w:val="Heading1"/>
        <w:spacing w:after="0"/>
        <w:jc w:val="left"/>
        <w:rPr>
          <w:b/>
          <w:bCs w:val="0"/>
        </w:rPr>
      </w:pPr>
    </w:p>
    <w:p w:rsidR="002A709E" w:rsidRDefault="002A709E" w:rsidP="00AF1BC5">
      <w:pPr>
        <w:pStyle w:val="Heading1"/>
        <w:spacing w:after="0"/>
        <w:jc w:val="left"/>
        <w:rPr>
          <w:b/>
          <w:bCs w:val="0"/>
        </w:rPr>
      </w:pPr>
    </w:p>
    <w:p w:rsidR="002A709E" w:rsidRDefault="002A709E" w:rsidP="00AF1BC5">
      <w:pPr>
        <w:pStyle w:val="Heading1"/>
        <w:spacing w:after="0"/>
        <w:jc w:val="left"/>
        <w:rPr>
          <w:b/>
          <w:bCs w:val="0"/>
        </w:rPr>
      </w:pPr>
    </w:p>
    <w:p w:rsidR="002A709E" w:rsidRPr="002A709E" w:rsidRDefault="002A709E" w:rsidP="002A709E"/>
    <w:p w:rsidR="00C9242F" w:rsidRDefault="00481D63" w:rsidP="00C9242F">
      <w:pPr>
        <w:pStyle w:val="Heading1"/>
        <w:spacing w:after="0"/>
        <w:rPr>
          <w:b/>
          <w:bCs w:val="0"/>
        </w:rPr>
      </w:pPr>
      <w:r>
        <w:rPr>
          <w:b/>
          <w:bCs w:val="0"/>
        </w:rPr>
        <w:t xml:space="preserve">V.  </w:t>
      </w:r>
      <w:r w:rsidR="00C9242F">
        <w:rPr>
          <w:b/>
          <w:bCs w:val="0"/>
        </w:rPr>
        <w:t xml:space="preserve">PROPOSED </w:t>
      </w:r>
      <w:r w:rsidR="00DC6348" w:rsidRPr="00A938F1">
        <w:rPr>
          <w:b/>
          <w:bCs w:val="0"/>
        </w:rPr>
        <w:t>FINDINGS OF FACT</w:t>
      </w:r>
      <w:bookmarkEnd w:id="5"/>
      <w:r w:rsidR="00C9242F">
        <w:rPr>
          <w:b/>
          <w:bCs w:val="0"/>
        </w:rPr>
        <w:t xml:space="preserve">, CONCLUSIONS OF LAW, AND </w:t>
      </w:r>
    </w:p>
    <w:p w:rsidR="00C9242F" w:rsidRPr="00C9242F" w:rsidRDefault="00C9242F" w:rsidP="00C9242F">
      <w:pPr>
        <w:pStyle w:val="Heading1"/>
        <w:spacing w:after="0"/>
        <w:rPr>
          <w:b/>
          <w:bCs w:val="0"/>
        </w:rPr>
      </w:pPr>
      <w:r>
        <w:rPr>
          <w:b/>
          <w:bCs w:val="0"/>
        </w:rPr>
        <w:t>ORDERING PARAGRAPHS</w:t>
      </w:r>
    </w:p>
    <w:p w:rsidR="00C9242F" w:rsidRDefault="00C9242F" w:rsidP="00C9242F">
      <w:pPr>
        <w:spacing w:line="360" w:lineRule="auto"/>
        <w:rPr>
          <w:bCs/>
        </w:rPr>
      </w:pPr>
    </w:p>
    <w:p w:rsidR="00C9242F" w:rsidRDefault="00C9242F" w:rsidP="007F3665">
      <w:pPr>
        <w:pStyle w:val="ListParagraph"/>
        <w:numPr>
          <w:ilvl w:val="0"/>
          <w:numId w:val="48"/>
        </w:numPr>
        <w:ind w:hanging="720"/>
        <w:rPr>
          <w:b/>
          <w:bCs/>
        </w:rPr>
      </w:pPr>
      <w:r>
        <w:rPr>
          <w:b/>
          <w:bCs/>
        </w:rPr>
        <w:t>Findings of Fact</w:t>
      </w:r>
    </w:p>
    <w:p w:rsidR="00C9242F" w:rsidRPr="00C9242F" w:rsidRDefault="00C9242F" w:rsidP="007F3665">
      <w:pPr>
        <w:pStyle w:val="ListParagraph"/>
        <w:rPr>
          <w:b/>
          <w:bCs/>
        </w:rPr>
      </w:pPr>
    </w:p>
    <w:p w:rsidR="00DC6348" w:rsidRPr="00C9242F" w:rsidRDefault="00DC6348" w:rsidP="007F3665">
      <w:pPr>
        <w:widowControl/>
        <w:rPr>
          <w:b/>
          <w:u w:val="single"/>
        </w:rPr>
      </w:pPr>
      <w:r w:rsidRPr="00C9242F">
        <w:rPr>
          <w:b/>
          <w:u w:val="single"/>
        </w:rPr>
        <w:t>Procedural History</w:t>
      </w:r>
    </w:p>
    <w:p w:rsidR="00DC6348" w:rsidRPr="00142878" w:rsidRDefault="00DC6348" w:rsidP="007F3665">
      <w:pPr>
        <w:widowControl/>
        <w:ind w:hanging="720"/>
      </w:pPr>
    </w:p>
    <w:p w:rsidR="006A6C3A" w:rsidRDefault="006A6C3A" w:rsidP="007F3665">
      <w:pPr>
        <w:pStyle w:val="Penny"/>
        <w:numPr>
          <w:ilvl w:val="0"/>
          <w:numId w:val="24"/>
        </w:numPr>
        <w:tabs>
          <w:tab w:val="clear" w:pos="1530"/>
          <w:tab w:val="num" w:pos="720"/>
        </w:tabs>
        <w:ind w:left="720"/>
      </w:pPr>
      <w:r>
        <w:t>On March 12, 2013, Douglas Utility Company (</w:t>
      </w:r>
      <w:r w:rsidR="00207AE6">
        <w:t>Douglas</w:t>
      </w:r>
      <w:r>
        <w:t>) filed with the Texas Commission on Environmental Quality (TCEQ) a notice of intent to change rates for water and sewer service</w:t>
      </w:r>
      <w:r w:rsidR="00B7297D">
        <w:t xml:space="preserve"> (Application)</w:t>
      </w:r>
      <w:r>
        <w:t xml:space="preserve">.  </w:t>
      </w:r>
      <w:r w:rsidR="00207AE6">
        <w:t>Douglas</w:t>
      </w:r>
      <w:r>
        <w:t>’s propose</w:t>
      </w:r>
      <w:r w:rsidR="00D93D50">
        <w:t>d rates went into effect on May </w:t>
      </w:r>
      <w:r>
        <w:t xml:space="preserve">12, 2013.  </w:t>
      </w:r>
    </w:p>
    <w:p w:rsidR="001E5E17" w:rsidRDefault="001E5E17" w:rsidP="001E5E17">
      <w:pPr>
        <w:pStyle w:val="FOFNumbered"/>
        <w:numPr>
          <w:ilvl w:val="0"/>
          <w:numId w:val="0"/>
        </w:numPr>
        <w:spacing w:before="0" w:line="240" w:lineRule="auto"/>
      </w:pPr>
    </w:p>
    <w:p w:rsidR="006A6C3A" w:rsidRDefault="00207AE6" w:rsidP="001631ED">
      <w:pPr>
        <w:pStyle w:val="Penny"/>
        <w:numPr>
          <w:ilvl w:val="0"/>
          <w:numId w:val="24"/>
        </w:numPr>
        <w:tabs>
          <w:tab w:val="clear" w:pos="1530"/>
          <w:tab w:val="num" w:pos="720"/>
        </w:tabs>
        <w:ind w:left="720"/>
      </w:pPr>
      <w:r>
        <w:t>Douglas</w:t>
      </w:r>
      <w:r w:rsidR="006A6C3A">
        <w:t xml:space="preserve"> mailed notice of the proposed rate change to all of its customers on or about March 10, 2013.  </w:t>
      </w:r>
      <w:r w:rsidR="001E5E17">
        <w:t>All customers of the utility were affected by the noticed increase.</w:t>
      </w:r>
    </w:p>
    <w:p w:rsidR="00CA7331" w:rsidRDefault="00CA7331" w:rsidP="00CA7331">
      <w:pPr>
        <w:pStyle w:val="ListParagraph"/>
      </w:pPr>
    </w:p>
    <w:p w:rsidR="00CA7331" w:rsidRDefault="00CA7331" w:rsidP="001631ED">
      <w:pPr>
        <w:pStyle w:val="Penny"/>
        <w:numPr>
          <w:ilvl w:val="0"/>
          <w:numId w:val="24"/>
        </w:numPr>
        <w:tabs>
          <w:tab w:val="clear" w:pos="1530"/>
          <w:tab w:val="num" w:pos="720"/>
        </w:tabs>
        <w:ind w:left="720"/>
      </w:pPr>
      <w:r>
        <w:t>The TCEQ referred this matter to the State Office of Administrative Hearings (SOAH) on November 19, 2013.</w:t>
      </w:r>
    </w:p>
    <w:p w:rsidR="006A6C3A" w:rsidRDefault="006A6C3A" w:rsidP="006A6C3A">
      <w:pPr>
        <w:pStyle w:val="ListParagraph"/>
      </w:pPr>
    </w:p>
    <w:p w:rsidR="006A6C3A" w:rsidRDefault="00D93D50" w:rsidP="001631ED">
      <w:pPr>
        <w:pStyle w:val="Penny"/>
        <w:numPr>
          <w:ilvl w:val="0"/>
          <w:numId w:val="24"/>
        </w:numPr>
        <w:tabs>
          <w:tab w:val="clear" w:pos="1530"/>
          <w:tab w:val="num" w:pos="720"/>
        </w:tabs>
        <w:ind w:left="720"/>
      </w:pPr>
      <w:r>
        <w:t xml:space="preserve">On </w:t>
      </w:r>
      <w:r w:rsidR="006A6C3A">
        <w:t xml:space="preserve">February 3, 2014, the Administrative Law Judge (ALJ) designated </w:t>
      </w:r>
      <w:r w:rsidR="00207AE6">
        <w:t>Douglas</w:t>
      </w:r>
      <w:r w:rsidR="006A6C3A">
        <w:t>, the Executive Director (ED) of the TCEQ, the Office of Public Interest Counsel (OP</w:t>
      </w:r>
      <w:r w:rsidR="009603B6">
        <w:t>I</w:t>
      </w:r>
      <w:r w:rsidR="006A6C3A">
        <w:t>C), Fountainview Homeowners Association (Fountainview), and Rainbow Housing Assistance Corporation/Equality Community Housing Corporation (Equality) as parties.</w:t>
      </w:r>
    </w:p>
    <w:p w:rsidR="006A6C3A" w:rsidRDefault="006A6C3A" w:rsidP="006A6C3A">
      <w:pPr>
        <w:pStyle w:val="ListParagraph"/>
      </w:pPr>
    </w:p>
    <w:p w:rsidR="006A6C3A" w:rsidRDefault="006A6C3A" w:rsidP="001631ED">
      <w:pPr>
        <w:pStyle w:val="Penny"/>
        <w:numPr>
          <w:ilvl w:val="0"/>
          <w:numId w:val="24"/>
        </w:numPr>
        <w:tabs>
          <w:tab w:val="clear" w:pos="1530"/>
          <w:tab w:val="num" w:pos="720"/>
        </w:tabs>
        <w:ind w:left="720"/>
      </w:pPr>
      <w:r>
        <w:t xml:space="preserve">On July 29, 2014, </w:t>
      </w:r>
      <w:r w:rsidR="00207AE6">
        <w:t>Douglas</w:t>
      </w:r>
      <w:r>
        <w:t>, the ED, OP</w:t>
      </w:r>
      <w:r w:rsidR="009603B6">
        <w:t>I</w:t>
      </w:r>
      <w:r>
        <w:t xml:space="preserve">C, Fountainview, </w:t>
      </w:r>
      <w:r w:rsidR="00CA7331">
        <w:t xml:space="preserve">and </w:t>
      </w:r>
      <w:r>
        <w:t xml:space="preserve">Equality participated in mediation at </w:t>
      </w:r>
      <w:r w:rsidR="00CA7331">
        <w:t>SOAH</w:t>
      </w:r>
      <w:r w:rsidR="00D93D50">
        <w:t xml:space="preserve"> </w:t>
      </w:r>
      <w:r>
        <w:t xml:space="preserve">and agreed on new water and sewer service rates. </w:t>
      </w:r>
    </w:p>
    <w:p w:rsidR="006A6C3A" w:rsidRDefault="006A6C3A" w:rsidP="006A6C3A">
      <w:pPr>
        <w:pStyle w:val="ListParagraph"/>
      </w:pPr>
    </w:p>
    <w:p w:rsidR="006A6C3A" w:rsidRDefault="006A6C3A" w:rsidP="001631ED">
      <w:pPr>
        <w:pStyle w:val="Penny"/>
        <w:numPr>
          <w:ilvl w:val="0"/>
          <w:numId w:val="24"/>
        </w:numPr>
        <w:tabs>
          <w:tab w:val="clear" w:pos="1530"/>
          <w:tab w:val="num" w:pos="720"/>
        </w:tabs>
        <w:ind w:left="720"/>
      </w:pPr>
      <w:r>
        <w:t xml:space="preserve">On July 29, 2014, during the mediation, </w:t>
      </w:r>
      <w:r w:rsidR="00207AE6">
        <w:t>Douglas</w:t>
      </w:r>
      <w:r>
        <w:t xml:space="preserve"> and the other parties determined that </w:t>
      </w:r>
      <w:r w:rsidR="00207AE6">
        <w:t>Douglas</w:t>
      </w:r>
      <w:r>
        <w:t xml:space="preserve"> had double-billed the fees charged by the City of Houston under the City’s Groundwater Re</w:t>
      </w:r>
      <w:r w:rsidR="00D93D50">
        <w:t>duction</w:t>
      </w:r>
      <w:r>
        <w:t xml:space="preserve"> Plan.  Thereafter, </w:t>
      </w:r>
      <w:r w:rsidR="00207AE6">
        <w:t>Douglas</w:t>
      </w:r>
      <w:r>
        <w:t xml:space="preserve"> revised its billings so the Groundwater Re</w:t>
      </w:r>
      <w:r w:rsidR="00D93D50">
        <w:t>duc</w:t>
      </w:r>
      <w:r>
        <w:t>tion Plan fee was charged correctly.  The issue of refunds for the over-collected fees was carried along in this case to be resolved in the final order.</w:t>
      </w:r>
    </w:p>
    <w:p w:rsidR="00647C3D" w:rsidRDefault="00647C3D" w:rsidP="00647C3D">
      <w:pPr>
        <w:pStyle w:val="ListParagraph"/>
      </w:pPr>
    </w:p>
    <w:p w:rsidR="00647C3D" w:rsidRDefault="00647C3D" w:rsidP="001631ED">
      <w:pPr>
        <w:pStyle w:val="Penny"/>
        <w:numPr>
          <w:ilvl w:val="0"/>
          <w:numId w:val="24"/>
        </w:numPr>
        <w:tabs>
          <w:tab w:val="clear" w:pos="1530"/>
          <w:tab w:val="num" w:pos="720"/>
        </w:tabs>
        <w:ind w:left="720"/>
      </w:pPr>
      <w:r>
        <w:rPr>
          <w:color w:val="000000"/>
        </w:rPr>
        <w:t>On July 30, 2014, the ED filed a Motion to Dismiss and Remand because the parties had agreed during mediation to the water and sewer rates to be charged.</w:t>
      </w:r>
    </w:p>
    <w:p w:rsidR="006A6C3A" w:rsidRDefault="006A6C3A" w:rsidP="006A6C3A">
      <w:pPr>
        <w:pStyle w:val="ListParagraph"/>
      </w:pPr>
    </w:p>
    <w:p w:rsidR="006A6C3A" w:rsidRDefault="006A6C3A" w:rsidP="001631ED">
      <w:pPr>
        <w:pStyle w:val="Penny"/>
        <w:numPr>
          <w:ilvl w:val="0"/>
          <w:numId w:val="24"/>
        </w:numPr>
        <w:tabs>
          <w:tab w:val="clear" w:pos="1530"/>
          <w:tab w:val="num" w:pos="720"/>
        </w:tabs>
        <w:ind w:left="720"/>
      </w:pPr>
      <w:r>
        <w:t xml:space="preserve">On July 31, 2014, </w:t>
      </w:r>
      <w:r w:rsidR="00207AE6">
        <w:t>Douglas</w:t>
      </w:r>
      <w:r>
        <w:t xml:space="preserve"> filed its response to the ED’s Motion to Dismiss and Remand, asserting that it was withdrawing from the settlement because, after signing the agreement, </w:t>
      </w:r>
      <w:r w:rsidR="00207AE6">
        <w:t>Douglas</w:t>
      </w:r>
      <w:r>
        <w:t xml:space="preserve"> determined that the agreed rates would result in a negative cash flow.  </w:t>
      </w:r>
      <w:r w:rsidR="00207AE6">
        <w:t>Douglas</w:t>
      </w:r>
      <w:r>
        <w:t xml:space="preserve"> also asserted that it could not provide continuous and adequate service if it </w:t>
      </w:r>
      <w:r w:rsidR="00AC204A">
        <w:t>could not</w:t>
      </w:r>
      <w:r>
        <w:t xml:space="preserve"> pay its bills.</w:t>
      </w:r>
    </w:p>
    <w:p w:rsidR="006A6C3A" w:rsidRDefault="006A6C3A" w:rsidP="006A6C3A">
      <w:pPr>
        <w:pStyle w:val="ListParagraph"/>
      </w:pPr>
    </w:p>
    <w:p w:rsidR="006A6C3A" w:rsidRDefault="006A6C3A" w:rsidP="001631ED">
      <w:pPr>
        <w:pStyle w:val="Penny"/>
        <w:numPr>
          <w:ilvl w:val="0"/>
          <w:numId w:val="24"/>
        </w:numPr>
        <w:tabs>
          <w:tab w:val="clear" w:pos="1530"/>
          <w:tab w:val="num" w:pos="720"/>
        </w:tabs>
        <w:ind w:left="720"/>
      </w:pPr>
      <w:r>
        <w:t>On September 1, 2014, jurisdiction over this proceeding transferred by statute from the TCEQ to the Public Utility Commission of Texas (Commission).</w:t>
      </w:r>
      <w:r w:rsidR="00F855ED">
        <w:t xml:space="preserve">  As of that date, the ED and OP</w:t>
      </w:r>
      <w:r w:rsidR="00647C3D">
        <w:t>I</w:t>
      </w:r>
      <w:r w:rsidR="00F855ED">
        <w:t>C were no longer parties to the case, and Staff became a party to the case.</w:t>
      </w:r>
    </w:p>
    <w:p w:rsidR="006A6C3A" w:rsidRDefault="006A6C3A" w:rsidP="001631ED">
      <w:pPr>
        <w:pStyle w:val="Penny"/>
        <w:numPr>
          <w:ilvl w:val="0"/>
          <w:numId w:val="24"/>
        </w:numPr>
        <w:tabs>
          <w:tab w:val="clear" w:pos="1530"/>
          <w:tab w:val="num" w:pos="720"/>
        </w:tabs>
        <w:ind w:left="720"/>
      </w:pPr>
      <w:r>
        <w:t xml:space="preserve">On October 29, 2014, the Commission </w:t>
      </w:r>
      <w:r w:rsidR="00CA7331">
        <w:t xml:space="preserve">ordered </w:t>
      </w:r>
      <w:r>
        <w:t xml:space="preserve">that a limited evidentiary </w:t>
      </w:r>
      <w:r w:rsidR="00CA7331">
        <w:t>h</w:t>
      </w:r>
      <w:r>
        <w:t>earing was necessary to determine whether the settlement rates in this proceeding violate Texas Water Code § 13.183(a).</w:t>
      </w:r>
    </w:p>
    <w:p w:rsidR="006A6C3A" w:rsidRDefault="006A6C3A" w:rsidP="006A6C3A">
      <w:pPr>
        <w:pStyle w:val="ListParagraph"/>
      </w:pPr>
    </w:p>
    <w:p w:rsidR="006A6C3A" w:rsidRDefault="006A6C3A" w:rsidP="001631ED">
      <w:pPr>
        <w:pStyle w:val="Penny"/>
        <w:numPr>
          <w:ilvl w:val="0"/>
          <w:numId w:val="24"/>
        </w:numPr>
        <w:tabs>
          <w:tab w:val="clear" w:pos="1530"/>
          <w:tab w:val="num" w:pos="720"/>
        </w:tabs>
        <w:ind w:left="720"/>
      </w:pPr>
      <w:r>
        <w:t xml:space="preserve">On September 2, 2015, </w:t>
      </w:r>
      <w:r w:rsidR="00D93D50">
        <w:t>before an ev</w:t>
      </w:r>
      <w:r w:rsidR="001E5E17">
        <w:t xml:space="preserve">identiary hearing was held, </w:t>
      </w:r>
      <w:r w:rsidR="00207AE6">
        <w:t>Douglas</w:t>
      </w:r>
      <w:r>
        <w:t xml:space="preserve"> filed its written notice to withdraw its </w:t>
      </w:r>
      <w:r w:rsidR="00C9242F">
        <w:t>A</w:t>
      </w:r>
      <w:r>
        <w:t>pplication.</w:t>
      </w:r>
    </w:p>
    <w:p w:rsidR="006A6C3A" w:rsidRDefault="006A6C3A" w:rsidP="006A6C3A">
      <w:pPr>
        <w:pStyle w:val="ListParagraph"/>
      </w:pPr>
    </w:p>
    <w:p w:rsidR="006A6C3A" w:rsidRDefault="006A6C3A" w:rsidP="001631ED">
      <w:pPr>
        <w:pStyle w:val="Penny"/>
        <w:numPr>
          <w:ilvl w:val="0"/>
          <w:numId w:val="24"/>
        </w:numPr>
        <w:tabs>
          <w:tab w:val="clear" w:pos="1530"/>
          <w:tab w:val="num" w:pos="720"/>
        </w:tabs>
        <w:ind w:left="720"/>
      </w:pPr>
      <w:r>
        <w:t>The parties conferred on the amount of refunds that would be due to</w:t>
      </w:r>
      <w:r w:rsidR="00CA7331">
        <w:t>, and the amount of surcharges due from,</w:t>
      </w:r>
      <w:r>
        <w:t xml:space="preserve"> customers charged the proposed rates before the </w:t>
      </w:r>
      <w:r w:rsidR="001E5E17">
        <w:t>A</w:t>
      </w:r>
      <w:r>
        <w:t xml:space="preserve">pplication was withdrawn.  A stipulation of the amounts of refunds </w:t>
      </w:r>
      <w:r w:rsidR="00CA7331">
        <w:t xml:space="preserve">and surcharges </w:t>
      </w:r>
      <w:r>
        <w:t>and to whom they should be paid was reached</w:t>
      </w:r>
      <w:r w:rsidR="00647C3D">
        <w:t xml:space="preserve"> as shown in Exhibit A</w:t>
      </w:r>
      <w:r>
        <w:t>.</w:t>
      </w:r>
    </w:p>
    <w:p w:rsidR="006A6C3A" w:rsidRDefault="006A6C3A" w:rsidP="006A6C3A">
      <w:pPr>
        <w:pStyle w:val="ListParagraph"/>
      </w:pPr>
    </w:p>
    <w:p w:rsidR="00C91B22" w:rsidRPr="001E5E17" w:rsidRDefault="006A6C3A" w:rsidP="001E5E17">
      <w:pPr>
        <w:pStyle w:val="Penny"/>
        <w:numPr>
          <w:ilvl w:val="0"/>
          <w:numId w:val="24"/>
        </w:numPr>
        <w:tabs>
          <w:tab w:val="clear" w:pos="1530"/>
          <w:tab w:val="num" w:pos="720"/>
        </w:tabs>
        <w:ind w:left="720"/>
      </w:pPr>
      <w:r>
        <w:t xml:space="preserve">On </w:t>
      </w:r>
      <w:r w:rsidR="00C8064C">
        <w:t>August 1</w:t>
      </w:r>
      <w:r w:rsidR="00CA7331">
        <w:t>0</w:t>
      </w:r>
      <w:r w:rsidR="00C8064C">
        <w:t>,</w:t>
      </w:r>
      <w:r>
        <w:t xml:space="preserve"> 2015, </w:t>
      </w:r>
      <w:r w:rsidR="00207AE6">
        <w:t>Douglas</w:t>
      </w:r>
      <w:r w:rsidR="00CA7331">
        <w:t xml:space="preserve"> ceased</w:t>
      </w:r>
      <w:r>
        <w:t xml:space="preserve"> charging its </w:t>
      </w:r>
      <w:r w:rsidR="00AC204A">
        <w:t xml:space="preserve">Application rates and returned to charging the </w:t>
      </w:r>
      <w:r w:rsidR="001E5E17">
        <w:t>pre-Application rates</w:t>
      </w:r>
      <w:r>
        <w:t xml:space="preserve"> that were in effect immediately prior to May 12, 2013.</w:t>
      </w:r>
    </w:p>
    <w:p w:rsidR="00647C3D" w:rsidRDefault="00647C3D" w:rsidP="00C9242F">
      <w:pPr>
        <w:pStyle w:val="FOFNumbered"/>
        <w:numPr>
          <w:ilvl w:val="0"/>
          <w:numId w:val="0"/>
        </w:numPr>
        <w:spacing w:before="0" w:line="240" w:lineRule="auto"/>
      </w:pPr>
    </w:p>
    <w:p w:rsidR="00DC6348" w:rsidRPr="00C9242F" w:rsidRDefault="006A6C3A" w:rsidP="001631ED">
      <w:pPr>
        <w:pStyle w:val="FOFNumbered"/>
        <w:numPr>
          <w:ilvl w:val="0"/>
          <w:numId w:val="0"/>
        </w:numPr>
        <w:spacing w:before="0" w:line="240" w:lineRule="auto"/>
        <w:rPr>
          <w:b/>
          <w:u w:val="single"/>
        </w:rPr>
      </w:pPr>
      <w:r w:rsidRPr="00C9242F">
        <w:rPr>
          <w:b/>
          <w:u w:val="single"/>
        </w:rPr>
        <w:t>The Stipulation</w:t>
      </w:r>
    </w:p>
    <w:p w:rsidR="00DC6348" w:rsidRPr="00475122" w:rsidRDefault="00DC6348" w:rsidP="001631ED">
      <w:pPr>
        <w:pStyle w:val="FOFNumbered"/>
        <w:numPr>
          <w:ilvl w:val="0"/>
          <w:numId w:val="0"/>
        </w:numPr>
        <w:spacing w:before="0" w:line="240" w:lineRule="auto"/>
        <w:rPr>
          <w:b/>
          <w:i/>
          <w:u w:val="single"/>
        </w:rPr>
      </w:pPr>
    </w:p>
    <w:p w:rsidR="006A6C3A" w:rsidRDefault="002F277C" w:rsidP="001631ED">
      <w:pPr>
        <w:pStyle w:val="FOFNumbered"/>
        <w:spacing w:before="0" w:line="240" w:lineRule="auto"/>
      </w:pPr>
      <w:r>
        <w:t xml:space="preserve">As stipulated by the parties, it is reasonable that </w:t>
      </w:r>
      <w:r w:rsidR="00207AE6">
        <w:t>Douglas</w:t>
      </w:r>
      <w:r w:rsidR="006A6C3A">
        <w:t xml:space="preserve"> refund the incremental difference collected from customers between the rates</w:t>
      </w:r>
      <w:r w:rsidR="00C60555">
        <w:t xml:space="preserve"> in effect before the March 12, </w:t>
      </w:r>
      <w:r w:rsidR="006A6C3A">
        <w:t xml:space="preserve">2013 rate change </w:t>
      </w:r>
      <w:r w:rsidR="00AC204A">
        <w:t>A</w:t>
      </w:r>
      <w:r w:rsidR="006A6C3A">
        <w:t xml:space="preserve">pplication and the rates collected under the proposed rates in the </w:t>
      </w:r>
      <w:r w:rsidR="001E5E17">
        <w:t>M</w:t>
      </w:r>
      <w:r w:rsidR="00647C3D">
        <w:t>arch 12, </w:t>
      </w:r>
      <w:r w:rsidR="006A6C3A">
        <w:t xml:space="preserve">2013 rate change </w:t>
      </w:r>
      <w:r w:rsidR="00AC204A">
        <w:t>A</w:t>
      </w:r>
      <w:r w:rsidR="006A6C3A">
        <w:t>pplication so these customers would not have paid more for the service they received than they would have paid under the pre-</w:t>
      </w:r>
      <w:r w:rsidR="00AC204A">
        <w:t>A</w:t>
      </w:r>
      <w:r w:rsidR="006A6C3A">
        <w:t xml:space="preserve">pplication rates.  </w:t>
      </w:r>
    </w:p>
    <w:p w:rsidR="00C91B22" w:rsidRDefault="00C91B22" w:rsidP="00C91B22">
      <w:pPr>
        <w:pStyle w:val="FOFNumbered"/>
        <w:numPr>
          <w:ilvl w:val="0"/>
          <w:numId w:val="0"/>
        </w:numPr>
        <w:spacing w:before="0" w:line="240" w:lineRule="auto"/>
        <w:ind w:left="720"/>
      </w:pPr>
    </w:p>
    <w:p w:rsidR="006A6C3A" w:rsidRDefault="002F277C" w:rsidP="001631ED">
      <w:pPr>
        <w:pStyle w:val="FOFNumbered"/>
        <w:spacing w:before="0" w:line="240" w:lineRule="auto"/>
      </w:pPr>
      <w:r>
        <w:t xml:space="preserve">As stipulated by the parties, it is reasonable that </w:t>
      </w:r>
      <w:r w:rsidR="00207AE6">
        <w:t>Douglas</w:t>
      </w:r>
      <w:r w:rsidR="00C91B22">
        <w:t xml:space="preserve"> refund the over-collection of fees charged by the City of Houston for its Groundwater Re</w:t>
      </w:r>
      <w:r w:rsidR="00CA7331">
        <w:t>duc</w:t>
      </w:r>
      <w:r w:rsidR="00C91B22">
        <w:t xml:space="preserve">tion Plan collected between May 12, 2013, and August 12, 2014.  </w:t>
      </w:r>
    </w:p>
    <w:p w:rsidR="00C91B22" w:rsidRDefault="00C91B22" w:rsidP="00C91B22">
      <w:pPr>
        <w:pStyle w:val="ListParagraph"/>
      </w:pPr>
    </w:p>
    <w:p w:rsidR="00C91B22" w:rsidRDefault="002F277C" w:rsidP="001631ED">
      <w:pPr>
        <w:pStyle w:val="FOFNumbered"/>
        <w:spacing w:before="0" w:line="240" w:lineRule="auto"/>
      </w:pPr>
      <w:r>
        <w:t xml:space="preserve">As stipulated by the parties, it is reasonable that </w:t>
      </w:r>
      <w:r w:rsidR="00207AE6">
        <w:t>Douglas</w:t>
      </w:r>
      <w:r w:rsidR="00C91B22">
        <w:t xml:space="preserve"> surcharge customers who underpaid to recover from those customers the revenues to which the utility was entitled under its </w:t>
      </w:r>
      <w:r w:rsidR="001E5E17">
        <w:t>pre-A</w:t>
      </w:r>
      <w:r w:rsidR="00C91B22">
        <w:t>pplication rates.</w:t>
      </w:r>
    </w:p>
    <w:p w:rsidR="00C91B22" w:rsidRDefault="00C91B22" w:rsidP="00C91B22">
      <w:pPr>
        <w:pStyle w:val="ListParagraph"/>
      </w:pPr>
    </w:p>
    <w:p w:rsidR="00C91B22" w:rsidRDefault="002F277C" w:rsidP="001631ED">
      <w:pPr>
        <w:pStyle w:val="FOFNumbered"/>
        <w:spacing w:before="0" w:line="240" w:lineRule="auto"/>
      </w:pPr>
      <w:r>
        <w:t xml:space="preserve">The stipulated </w:t>
      </w:r>
      <w:r w:rsidR="00C91B22">
        <w:t>amounts of fees and overcharges and undercharges, including applicable interest, where applicable, are set forth</w:t>
      </w:r>
      <w:r>
        <w:t xml:space="preserve"> below (and </w:t>
      </w:r>
      <w:r w:rsidR="00C91B22">
        <w:t>in the attached Exhibit A</w:t>
      </w:r>
      <w:r>
        <w:t>):</w:t>
      </w:r>
    </w:p>
    <w:p w:rsidR="002F277C" w:rsidRDefault="002F277C" w:rsidP="002F277C">
      <w:pPr>
        <w:pStyle w:val="ListParagraph"/>
      </w:pPr>
    </w:p>
    <w:tbl>
      <w:tblPr>
        <w:tblStyle w:val="TableGrid"/>
        <w:tblW w:w="0" w:type="auto"/>
        <w:tblInd w:w="828" w:type="dxa"/>
        <w:tblLook w:val="04A0" w:firstRow="1" w:lastRow="0" w:firstColumn="1" w:lastColumn="0" w:noHBand="0" w:noVBand="1"/>
      </w:tblPr>
      <w:tblGrid>
        <w:gridCol w:w="4770"/>
        <w:gridCol w:w="3870"/>
      </w:tblGrid>
      <w:tr w:rsidR="002F277C" w:rsidTr="00AA68E0">
        <w:tc>
          <w:tcPr>
            <w:tcW w:w="4770" w:type="dxa"/>
          </w:tcPr>
          <w:p w:rsidR="002F277C" w:rsidRPr="00C35CE6" w:rsidRDefault="002F277C" w:rsidP="006B3115">
            <w:pPr>
              <w:tabs>
                <w:tab w:val="center" w:pos="4680"/>
              </w:tabs>
              <w:spacing w:line="360" w:lineRule="auto"/>
              <w:rPr>
                <w:b/>
                <w:szCs w:val="22"/>
              </w:rPr>
            </w:pPr>
            <w:r w:rsidRPr="00C35CE6">
              <w:rPr>
                <w:b/>
                <w:szCs w:val="22"/>
              </w:rPr>
              <w:t xml:space="preserve">Customer </w:t>
            </w:r>
          </w:p>
        </w:tc>
        <w:tc>
          <w:tcPr>
            <w:tcW w:w="3870" w:type="dxa"/>
          </w:tcPr>
          <w:p w:rsidR="002F277C" w:rsidRPr="00C35CE6" w:rsidRDefault="002F277C" w:rsidP="006B3115">
            <w:pPr>
              <w:tabs>
                <w:tab w:val="center" w:pos="4680"/>
              </w:tabs>
              <w:spacing w:line="360" w:lineRule="auto"/>
              <w:rPr>
                <w:b/>
                <w:szCs w:val="22"/>
              </w:rPr>
            </w:pPr>
            <w:r w:rsidRPr="00C35CE6">
              <w:rPr>
                <w:b/>
                <w:szCs w:val="22"/>
              </w:rPr>
              <w:t>Amount</w:t>
            </w:r>
          </w:p>
        </w:tc>
      </w:tr>
      <w:tr w:rsidR="002F277C" w:rsidTr="00AA68E0">
        <w:tc>
          <w:tcPr>
            <w:tcW w:w="4770" w:type="dxa"/>
          </w:tcPr>
          <w:p w:rsidR="002F277C" w:rsidRDefault="002F277C" w:rsidP="00AA68E0">
            <w:pPr>
              <w:tabs>
                <w:tab w:val="center" w:pos="4680"/>
              </w:tabs>
              <w:spacing w:line="360" w:lineRule="auto"/>
              <w:rPr>
                <w:szCs w:val="22"/>
              </w:rPr>
            </w:pPr>
            <w:r>
              <w:rPr>
                <w:szCs w:val="22"/>
              </w:rPr>
              <w:t>Haverstock Hills Apartments</w:t>
            </w:r>
          </w:p>
        </w:tc>
        <w:tc>
          <w:tcPr>
            <w:tcW w:w="3870" w:type="dxa"/>
          </w:tcPr>
          <w:p w:rsidR="002F277C" w:rsidRDefault="002F277C" w:rsidP="006B3115">
            <w:pPr>
              <w:tabs>
                <w:tab w:val="center" w:pos="4680"/>
              </w:tabs>
              <w:spacing w:line="360" w:lineRule="auto"/>
              <w:rPr>
                <w:szCs w:val="22"/>
              </w:rPr>
            </w:pPr>
            <w:r>
              <w:rPr>
                <w:szCs w:val="22"/>
              </w:rPr>
              <w:t>$389,689.28</w:t>
            </w:r>
          </w:p>
        </w:tc>
      </w:tr>
      <w:tr w:rsidR="002F277C" w:rsidTr="00AA68E0">
        <w:tc>
          <w:tcPr>
            <w:tcW w:w="4770" w:type="dxa"/>
          </w:tcPr>
          <w:p w:rsidR="002F277C" w:rsidRDefault="002F277C" w:rsidP="006B3115">
            <w:pPr>
              <w:tabs>
                <w:tab w:val="center" w:pos="4680"/>
              </w:tabs>
              <w:spacing w:line="360" w:lineRule="auto"/>
              <w:rPr>
                <w:szCs w:val="22"/>
              </w:rPr>
            </w:pPr>
            <w:r>
              <w:rPr>
                <w:szCs w:val="22"/>
              </w:rPr>
              <w:t>Customers with 2” meters</w:t>
            </w:r>
          </w:p>
        </w:tc>
        <w:tc>
          <w:tcPr>
            <w:tcW w:w="3870" w:type="dxa"/>
          </w:tcPr>
          <w:p w:rsidR="002F277C" w:rsidRDefault="002F277C" w:rsidP="006B3115">
            <w:pPr>
              <w:tabs>
                <w:tab w:val="center" w:pos="4680"/>
              </w:tabs>
              <w:spacing w:line="360" w:lineRule="auto"/>
              <w:rPr>
                <w:szCs w:val="22"/>
              </w:rPr>
            </w:pPr>
            <w:r>
              <w:rPr>
                <w:szCs w:val="22"/>
              </w:rPr>
              <w:t>($18,044.52)</w:t>
            </w:r>
          </w:p>
        </w:tc>
      </w:tr>
      <w:tr w:rsidR="002F277C" w:rsidTr="00AA68E0">
        <w:tc>
          <w:tcPr>
            <w:tcW w:w="4770" w:type="dxa"/>
          </w:tcPr>
          <w:p w:rsidR="002F277C" w:rsidRDefault="002F277C" w:rsidP="006B3115">
            <w:pPr>
              <w:tabs>
                <w:tab w:val="center" w:pos="4680"/>
              </w:tabs>
              <w:spacing w:line="360" w:lineRule="auto"/>
              <w:rPr>
                <w:szCs w:val="22"/>
              </w:rPr>
            </w:pPr>
            <w:r>
              <w:rPr>
                <w:szCs w:val="22"/>
              </w:rPr>
              <w:t>Customers with 1” meters</w:t>
            </w:r>
          </w:p>
        </w:tc>
        <w:tc>
          <w:tcPr>
            <w:tcW w:w="3870" w:type="dxa"/>
          </w:tcPr>
          <w:p w:rsidR="002F277C" w:rsidRDefault="002F277C" w:rsidP="006B3115">
            <w:pPr>
              <w:tabs>
                <w:tab w:val="center" w:pos="4680"/>
              </w:tabs>
              <w:spacing w:line="360" w:lineRule="auto"/>
              <w:rPr>
                <w:szCs w:val="22"/>
              </w:rPr>
            </w:pPr>
            <w:r>
              <w:rPr>
                <w:szCs w:val="22"/>
              </w:rPr>
              <w:t>($836.30)</w:t>
            </w:r>
          </w:p>
        </w:tc>
      </w:tr>
      <w:tr w:rsidR="002F277C" w:rsidTr="00AA68E0">
        <w:tc>
          <w:tcPr>
            <w:tcW w:w="4770" w:type="dxa"/>
          </w:tcPr>
          <w:p w:rsidR="002F277C" w:rsidRDefault="002F277C" w:rsidP="006B3115">
            <w:pPr>
              <w:tabs>
                <w:tab w:val="center" w:pos="4680"/>
              </w:tabs>
              <w:spacing w:line="360" w:lineRule="auto"/>
              <w:rPr>
                <w:szCs w:val="22"/>
              </w:rPr>
            </w:pPr>
            <w:r>
              <w:rPr>
                <w:szCs w:val="22"/>
              </w:rPr>
              <w:t>Customers with 5/8” meters</w:t>
            </w:r>
          </w:p>
        </w:tc>
        <w:tc>
          <w:tcPr>
            <w:tcW w:w="3870" w:type="dxa"/>
          </w:tcPr>
          <w:p w:rsidR="002F277C" w:rsidRDefault="002F277C" w:rsidP="006B3115">
            <w:pPr>
              <w:tabs>
                <w:tab w:val="center" w:pos="4680"/>
              </w:tabs>
              <w:spacing w:line="360" w:lineRule="auto"/>
              <w:rPr>
                <w:szCs w:val="22"/>
              </w:rPr>
            </w:pPr>
            <w:r>
              <w:rPr>
                <w:szCs w:val="22"/>
              </w:rPr>
              <w:t>($72,474.73)</w:t>
            </w:r>
          </w:p>
        </w:tc>
      </w:tr>
      <w:tr w:rsidR="002F277C" w:rsidTr="00AA68E0">
        <w:tc>
          <w:tcPr>
            <w:tcW w:w="4770" w:type="dxa"/>
          </w:tcPr>
          <w:p w:rsidR="002F277C" w:rsidRPr="00E712FA" w:rsidRDefault="002F277C" w:rsidP="006B3115">
            <w:pPr>
              <w:tabs>
                <w:tab w:val="center" w:pos="4680"/>
              </w:tabs>
              <w:spacing w:line="360" w:lineRule="auto"/>
              <w:jc w:val="right"/>
              <w:rPr>
                <w:b/>
                <w:szCs w:val="22"/>
              </w:rPr>
            </w:pPr>
            <w:r>
              <w:rPr>
                <w:b/>
                <w:szCs w:val="22"/>
              </w:rPr>
              <w:t>Total</w:t>
            </w:r>
          </w:p>
        </w:tc>
        <w:tc>
          <w:tcPr>
            <w:tcW w:w="3870" w:type="dxa"/>
          </w:tcPr>
          <w:p w:rsidR="002F277C" w:rsidRDefault="002F277C" w:rsidP="006B3115">
            <w:pPr>
              <w:tabs>
                <w:tab w:val="center" w:pos="4680"/>
              </w:tabs>
              <w:spacing w:line="360" w:lineRule="auto"/>
              <w:rPr>
                <w:szCs w:val="22"/>
              </w:rPr>
            </w:pPr>
            <w:r>
              <w:rPr>
                <w:szCs w:val="22"/>
              </w:rPr>
              <w:t>$298,333.73</w:t>
            </w:r>
          </w:p>
        </w:tc>
      </w:tr>
    </w:tbl>
    <w:p w:rsidR="002F277C" w:rsidRDefault="002F277C" w:rsidP="002F277C">
      <w:pPr>
        <w:pStyle w:val="FOFNumbered"/>
        <w:numPr>
          <w:ilvl w:val="0"/>
          <w:numId w:val="0"/>
        </w:numPr>
        <w:spacing w:before="0" w:line="240" w:lineRule="auto"/>
        <w:ind w:left="720"/>
      </w:pPr>
    </w:p>
    <w:p w:rsidR="00C91B22" w:rsidRDefault="00C91B22" w:rsidP="00AF1BC5">
      <w:pPr>
        <w:pStyle w:val="FOFNumbered"/>
        <w:spacing w:before="0" w:line="240" w:lineRule="auto"/>
      </w:pPr>
      <w:r>
        <w:t>The parties stipulate that the only issue of contested fact or law in this case concern</w:t>
      </w:r>
      <w:r w:rsidR="00CA7331">
        <w:t>s</w:t>
      </w:r>
      <w:r>
        <w:t xml:space="preserve"> the period over which the refunds and/or surcharges in Exhibit A shall be made.</w:t>
      </w:r>
    </w:p>
    <w:p w:rsidR="00C91B22" w:rsidRDefault="00C91B22" w:rsidP="00AF1BC5">
      <w:pPr>
        <w:pStyle w:val="ListParagraph"/>
      </w:pPr>
    </w:p>
    <w:p w:rsidR="00C91B22" w:rsidRPr="00AA68E0" w:rsidRDefault="00C91B22" w:rsidP="00AF1BC5">
      <w:r w:rsidRPr="00AA68E0">
        <w:rPr>
          <w:b/>
          <w:u w:val="single"/>
        </w:rPr>
        <w:t>Refunds and Surcharges</w:t>
      </w:r>
    </w:p>
    <w:p w:rsidR="00C91B22" w:rsidRDefault="00C91B22" w:rsidP="00AF1BC5"/>
    <w:p w:rsidR="00C91B22" w:rsidRPr="00C8064C" w:rsidRDefault="00AA68E0" w:rsidP="00AF1BC5">
      <w:pPr>
        <w:pStyle w:val="FOFNumbered"/>
        <w:spacing w:before="0" w:line="240" w:lineRule="auto"/>
      </w:pPr>
      <w:r>
        <w:t xml:space="preserve">It is reasonable that </w:t>
      </w:r>
      <w:r w:rsidR="00207AE6">
        <w:t>Douglas</w:t>
      </w:r>
      <w:r w:rsidR="00C91B22" w:rsidRPr="00C8064C">
        <w:t xml:space="preserve"> refund over-collections with in</w:t>
      </w:r>
      <w:r w:rsidR="00481D63">
        <w:t>terest as calculated in Exhibit </w:t>
      </w:r>
      <w:r w:rsidR="00C91B22" w:rsidRPr="00C8064C">
        <w:t xml:space="preserve">A over a period of </w:t>
      </w:r>
      <w:r w:rsidR="00C8064C" w:rsidRPr="00C8064C">
        <w:t>12</w:t>
      </w:r>
      <w:r w:rsidR="00C91B22" w:rsidRPr="00C8064C">
        <w:t xml:space="preserve"> months.</w:t>
      </w:r>
    </w:p>
    <w:p w:rsidR="00C91B22" w:rsidRPr="00C8064C" w:rsidRDefault="00C91B22" w:rsidP="00AF1BC5">
      <w:pPr>
        <w:pStyle w:val="FOFNumbered"/>
        <w:numPr>
          <w:ilvl w:val="0"/>
          <w:numId w:val="0"/>
        </w:numPr>
        <w:spacing w:before="0" w:line="240" w:lineRule="auto"/>
        <w:ind w:left="720"/>
      </w:pPr>
    </w:p>
    <w:p w:rsidR="00C91B22" w:rsidRPr="00C8064C" w:rsidRDefault="00AA68E0" w:rsidP="00AF1BC5">
      <w:pPr>
        <w:pStyle w:val="FOFNumbered"/>
        <w:spacing w:before="0" w:line="240" w:lineRule="auto"/>
      </w:pPr>
      <w:r>
        <w:t xml:space="preserve">It is reasonable that </w:t>
      </w:r>
      <w:r w:rsidR="00207AE6">
        <w:t>Douglas</w:t>
      </w:r>
      <w:r w:rsidR="00C91B22" w:rsidRPr="00C8064C">
        <w:t xml:space="preserve"> surcharge under-collections as calculated in Exhibit A over a period of </w:t>
      </w:r>
      <w:r w:rsidR="00AC204A">
        <w:t>24 </w:t>
      </w:r>
      <w:r w:rsidR="00C91B22" w:rsidRPr="00C8064C">
        <w:t>months.</w:t>
      </w:r>
    </w:p>
    <w:p w:rsidR="00232E08" w:rsidRPr="005E1A1B" w:rsidRDefault="00232E08" w:rsidP="00AF1BC5">
      <w:pPr>
        <w:pStyle w:val="Penny"/>
        <w:numPr>
          <w:ilvl w:val="0"/>
          <w:numId w:val="0"/>
        </w:numPr>
        <w:rPr>
          <w:bCs/>
          <w:highlight w:val="yellow"/>
        </w:rPr>
      </w:pPr>
    </w:p>
    <w:p w:rsidR="00232E08" w:rsidRDefault="00AA68E0" w:rsidP="00AF1BC5">
      <w:pPr>
        <w:pStyle w:val="Heading1"/>
        <w:spacing w:after="0"/>
        <w:jc w:val="left"/>
        <w:rPr>
          <w:b/>
          <w:bCs w:val="0"/>
        </w:rPr>
      </w:pPr>
      <w:bookmarkStart w:id="6" w:name="_Toc412020944"/>
      <w:r>
        <w:rPr>
          <w:b/>
          <w:bCs w:val="0"/>
        </w:rPr>
        <w:t xml:space="preserve">B. </w:t>
      </w:r>
      <w:r>
        <w:rPr>
          <w:b/>
          <w:bCs w:val="0"/>
        </w:rPr>
        <w:tab/>
      </w:r>
      <w:r w:rsidRPr="00765D22">
        <w:rPr>
          <w:b/>
          <w:bCs w:val="0"/>
        </w:rPr>
        <w:t xml:space="preserve">Conclusions </w:t>
      </w:r>
      <w:r>
        <w:rPr>
          <w:b/>
          <w:bCs w:val="0"/>
        </w:rPr>
        <w:t>o</w:t>
      </w:r>
      <w:r w:rsidRPr="00765D22">
        <w:rPr>
          <w:b/>
          <w:bCs w:val="0"/>
        </w:rPr>
        <w:t>f Law</w:t>
      </w:r>
      <w:bookmarkEnd w:id="6"/>
    </w:p>
    <w:p w:rsidR="00AF1BC5" w:rsidRPr="00AF1BC5" w:rsidRDefault="00AF1BC5" w:rsidP="00AF1BC5"/>
    <w:p w:rsidR="00232E08" w:rsidRDefault="00B7297D" w:rsidP="00AF1BC5">
      <w:pPr>
        <w:pStyle w:val="COLNumbered"/>
        <w:numPr>
          <w:ilvl w:val="0"/>
          <w:numId w:val="0"/>
        </w:numPr>
        <w:spacing w:before="0" w:line="240" w:lineRule="auto"/>
        <w:ind w:left="720" w:hanging="720"/>
      </w:pPr>
      <w:r w:rsidRPr="00B7297D">
        <w:t>1.</w:t>
      </w:r>
      <w:r w:rsidRPr="00B7297D">
        <w:tab/>
      </w:r>
      <w:r w:rsidR="00207AE6">
        <w:t>Douglas</w:t>
      </w:r>
      <w:r w:rsidRPr="00B7297D">
        <w:t xml:space="preserve"> is a water </w:t>
      </w:r>
      <w:r w:rsidR="00AA68E0">
        <w:t xml:space="preserve">and sewer </w:t>
      </w:r>
      <w:r w:rsidRPr="00B7297D">
        <w:t>utility under Texas Water Code § 13.002(23).</w:t>
      </w:r>
    </w:p>
    <w:p w:rsidR="00B7297D" w:rsidRPr="00B7297D" w:rsidRDefault="00B7297D" w:rsidP="00AF1BC5">
      <w:pPr>
        <w:pStyle w:val="COLNumbered"/>
        <w:numPr>
          <w:ilvl w:val="0"/>
          <w:numId w:val="0"/>
        </w:numPr>
        <w:spacing w:before="0" w:line="240" w:lineRule="auto"/>
      </w:pPr>
    </w:p>
    <w:p w:rsidR="00B7297D" w:rsidRPr="00B7297D" w:rsidRDefault="00B7297D" w:rsidP="00AF1BC5">
      <w:pPr>
        <w:pStyle w:val="COLNumbered"/>
        <w:numPr>
          <w:ilvl w:val="0"/>
          <w:numId w:val="0"/>
        </w:numPr>
        <w:spacing w:before="0" w:line="240" w:lineRule="auto"/>
        <w:ind w:left="720" w:hanging="720"/>
      </w:pPr>
      <w:r w:rsidRPr="00B7297D">
        <w:t>2.</w:t>
      </w:r>
      <w:r w:rsidRPr="00B7297D">
        <w:tab/>
        <w:t>Before September 1, 2014, the TCEQ was the state agency with regulatory jurisdiction over this proceeding.</w:t>
      </w:r>
    </w:p>
    <w:p w:rsidR="00B7297D" w:rsidRDefault="00B7297D" w:rsidP="00AF1BC5">
      <w:pPr>
        <w:pStyle w:val="COLNumbered"/>
        <w:numPr>
          <w:ilvl w:val="0"/>
          <w:numId w:val="0"/>
        </w:numPr>
        <w:spacing w:before="0" w:line="240" w:lineRule="auto"/>
        <w:ind w:left="720" w:hanging="720"/>
      </w:pPr>
    </w:p>
    <w:p w:rsidR="00B7297D" w:rsidRDefault="00B7297D" w:rsidP="00AF1BC5">
      <w:pPr>
        <w:pStyle w:val="COLNumbered"/>
        <w:numPr>
          <w:ilvl w:val="0"/>
          <w:numId w:val="0"/>
        </w:numPr>
        <w:spacing w:before="0" w:line="240" w:lineRule="auto"/>
        <w:ind w:left="720" w:hanging="720"/>
      </w:pPr>
      <w:r w:rsidRPr="00B7297D">
        <w:t>3.</w:t>
      </w:r>
      <w:r w:rsidRPr="00B7297D">
        <w:tab/>
        <w:t>Beginning September 1, 2014, regulatory jurisdiction transferred to the Commission pursuant to House Bill 1600 and Senate Bill 567 (83rd Legislature, Regular Session).</w:t>
      </w:r>
    </w:p>
    <w:p w:rsidR="00B7297D" w:rsidRDefault="00B7297D" w:rsidP="00AF1BC5">
      <w:pPr>
        <w:pStyle w:val="COLNumbered"/>
        <w:numPr>
          <w:ilvl w:val="0"/>
          <w:numId w:val="0"/>
        </w:numPr>
        <w:spacing w:before="0" w:line="240" w:lineRule="auto"/>
        <w:ind w:left="720" w:hanging="720"/>
      </w:pPr>
    </w:p>
    <w:p w:rsidR="00B7297D" w:rsidRDefault="00B7297D" w:rsidP="00AF1BC5">
      <w:pPr>
        <w:pStyle w:val="COLNumbered"/>
        <w:numPr>
          <w:ilvl w:val="0"/>
          <w:numId w:val="0"/>
        </w:numPr>
        <w:spacing w:before="0" w:line="240" w:lineRule="auto"/>
        <w:ind w:left="720" w:hanging="720"/>
      </w:pPr>
      <w:r>
        <w:t>4.</w:t>
      </w:r>
      <w:r>
        <w:tab/>
        <w:t>The Commission has jurisdiction over this proceeding.  Tex</w:t>
      </w:r>
      <w:r w:rsidR="00AC204A">
        <w:t>. Water Code ch. 13, subch. </w:t>
      </w:r>
      <w:r>
        <w:t>F.</w:t>
      </w:r>
    </w:p>
    <w:p w:rsidR="00B7297D" w:rsidRDefault="00B7297D" w:rsidP="00AF1BC5">
      <w:pPr>
        <w:pStyle w:val="COLNumbered"/>
        <w:numPr>
          <w:ilvl w:val="0"/>
          <w:numId w:val="0"/>
        </w:numPr>
        <w:spacing w:before="0" w:line="240" w:lineRule="auto"/>
        <w:ind w:left="720" w:hanging="720"/>
      </w:pPr>
    </w:p>
    <w:p w:rsidR="00B7297D" w:rsidRDefault="00B7297D" w:rsidP="00AF1BC5">
      <w:pPr>
        <w:pStyle w:val="COLNumbered"/>
        <w:numPr>
          <w:ilvl w:val="0"/>
          <w:numId w:val="0"/>
        </w:numPr>
        <w:spacing w:before="0" w:line="240" w:lineRule="auto"/>
        <w:ind w:left="720" w:hanging="720"/>
      </w:pPr>
      <w:r>
        <w:t>5.</w:t>
      </w:r>
      <w:r>
        <w:tab/>
      </w:r>
      <w:r w:rsidR="00207AE6">
        <w:t>Douglas</w:t>
      </w:r>
      <w:r>
        <w:t xml:space="preserve"> filed its March 12, 2013 Application under the </w:t>
      </w:r>
      <w:r w:rsidR="001E5E17">
        <w:t>authority of Texas Water Code § </w:t>
      </w:r>
      <w:r>
        <w:t>13.187.</w:t>
      </w:r>
    </w:p>
    <w:p w:rsidR="00B7297D" w:rsidRDefault="00B7297D" w:rsidP="00AF1BC5">
      <w:pPr>
        <w:pStyle w:val="COLNumbered"/>
        <w:numPr>
          <w:ilvl w:val="0"/>
          <w:numId w:val="0"/>
        </w:numPr>
        <w:spacing w:before="0" w:line="240" w:lineRule="auto"/>
        <w:ind w:left="720" w:hanging="720"/>
      </w:pPr>
    </w:p>
    <w:p w:rsidR="00B7297D" w:rsidRDefault="00B7297D" w:rsidP="00AF1BC5">
      <w:pPr>
        <w:pStyle w:val="COLNumbered"/>
        <w:numPr>
          <w:ilvl w:val="0"/>
          <w:numId w:val="0"/>
        </w:numPr>
        <w:spacing w:before="0" w:line="240" w:lineRule="auto"/>
        <w:ind w:left="720" w:hanging="720"/>
      </w:pPr>
      <w:r>
        <w:t>6.</w:t>
      </w:r>
      <w:r>
        <w:tab/>
      </w:r>
      <w:r w:rsidR="00207AE6">
        <w:t>Douglas</w:t>
      </w:r>
      <w:r>
        <w:t xml:space="preserve"> is authorized to withdraw it</w:t>
      </w:r>
      <w:r w:rsidR="001E5E17">
        <w:t>s</w:t>
      </w:r>
      <w:r>
        <w:t xml:space="preserve"> Application subject to making appropriate </w:t>
      </w:r>
      <w:r w:rsidR="00AC204A">
        <w:t>refunds and surcharges as shown</w:t>
      </w:r>
      <w:r>
        <w:t xml:space="preserve"> in Exhibit A.</w:t>
      </w:r>
    </w:p>
    <w:p w:rsidR="00B7297D" w:rsidRDefault="00B7297D" w:rsidP="00AF1BC5">
      <w:pPr>
        <w:pStyle w:val="COLNumbered"/>
        <w:numPr>
          <w:ilvl w:val="0"/>
          <w:numId w:val="0"/>
        </w:numPr>
        <w:spacing w:before="0" w:line="240" w:lineRule="auto"/>
        <w:ind w:left="720" w:hanging="720"/>
      </w:pPr>
    </w:p>
    <w:p w:rsidR="00B7297D" w:rsidRDefault="00B7297D" w:rsidP="00AF1BC5">
      <w:pPr>
        <w:pStyle w:val="COLNumbered"/>
        <w:numPr>
          <w:ilvl w:val="0"/>
          <w:numId w:val="0"/>
        </w:numPr>
        <w:spacing w:before="0" w:line="240" w:lineRule="auto"/>
        <w:ind w:left="720" w:hanging="720"/>
      </w:pPr>
      <w:r>
        <w:t>7.</w:t>
      </w:r>
      <w:r>
        <w:tab/>
      </w:r>
      <w:r w:rsidR="001E5E17">
        <w:t xml:space="preserve">Because </w:t>
      </w:r>
      <w:r>
        <w:t xml:space="preserve">the final </w:t>
      </w:r>
      <w:r w:rsidR="001E5E17">
        <w:t>o</w:t>
      </w:r>
      <w:r>
        <w:t>rder in this docket, after the withdraw</w:t>
      </w:r>
      <w:r w:rsidR="00481D63">
        <w:t>al</w:t>
      </w:r>
      <w:r>
        <w:t xml:space="preserve"> of the Application, will result in rates less than </w:t>
      </w:r>
      <w:r w:rsidR="00207AE6">
        <w:t>Douglas</w:t>
      </w:r>
      <w:r>
        <w:t xml:space="preserve"> proposed and collected during the pendency of the Application, </w:t>
      </w:r>
      <w:r w:rsidR="00207AE6">
        <w:t>Douglas</w:t>
      </w:r>
      <w:r>
        <w:t xml:space="preserve"> must refund over-collections with interest in the manner prescribed by the Commission.</w:t>
      </w:r>
      <w:r w:rsidR="00BF2635">
        <w:t xml:space="preserve">  Tex. Water Code § 13.187(k).</w:t>
      </w:r>
    </w:p>
    <w:p w:rsidR="00B7297D" w:rsidRDefault="00B7297D" w:rsidP="00AF1BC5">
      <w:pPr>
        <w:pStyle w:val="COLNumbered"/>
        <w:numPr>
          <w:ilvl w:val="0"/>
          <w:numId w:val="0"/>
        </w:numPr>
        <w:spacing w:before="0" w:line="240" w:lineRule="auto"/>
        <w:ind w:left="720" w:hanging="720"/>
      </w:pPr>
    </w:p>
    <w:p w:rsidR="00B7297D" w:rsidRDefault="00B7297D" w:rsidP="00AF1BC5">
      <w:pPr>
        <w:pStyle w:val="COLNumbered"/>
        <w:numPr>
          <w:ilvl w:val="0"/>
          <w:numId w:val="0"/>
        </w:numPr>
        <w:spacing w:before="0" w:line="240" w:lineRule="auto"/>
        <w:ind w:left="720" w:hanging="720"/>
      </w:pPr>
      <w:r>
        <w:t>8.</w:t>
      </w:r>
      <w:r>
        <w:tab/>
      </w:r>
      <w:r w:rsidR="00BF2635">
        <w:t>Because t</w:t>
      </w:r>
      <w:r>
        <w:t xml:space="preserve">he final rates for small meter customers will be less than </w:t>
      </w:r>
      <w:r w:rsidR="00207AE6">
        <w:t>Douglas</w:t>
      </w:r>
      <w:r>
        <w:t xml:space="preserve"> charged during the pendency of this case, </w:t>
      </w:r>
      <w:r w:rsidR="00207AE6">
        <w:t>Douglas</w:t>
      </w:r>
      <w:r>
        <w:t xml:space="preserve"> is entitled to surcharges from under-paying customers.</w:t>
      </w:r>
      <w:r w:rsidR="00BF2635">
        <w:t xml:space="preserve">  Tex. Water Code § 13.187(k).</w:t>
      </w:r>
    </w:p>
    <w:p w:rsidR="00B7297D" w:rsidRDefault="00B7297D" w:rsidP="00B7297D">
      <w:pPr>
        <w:pStyle w:val="COLNumbered"/>
        <w:numPr>
          <w:ilvl w:val="0"/>
          <w:numId w:val="0"/>
        </w:numPr>
        <w:spacing w:before="0" w:line="240" w:lineRule="auto"/>
        <w:ind w:left="720" w:hanging="720"/>
      </w:pPr>
    </w:p>
    <w:p w:rsidR="00C60555" w:rsidRDefault="00C60555" w:rsidP="00B7297D">
      <w:pPr>
        <w:pStyle w:val="COLNumbered"/>
        <w:numPr>
          <w:ilvl w:val="0"/>
          <w:numId w:val="0"/>
        </w:numPr>
        <w:spacing w:before="0" w:line="240" w:lineRule="auto"/>
        <w:ind w:left="720" w:hanging="720"/>
      </w:pPr>
    </w:p>
    <w:p w:rsidR="00C60555" w:rsidRDefault="00C60555" w:rsidP="00B7297D">
      <w:pPr>
        <w:pStyle w:val="COLNumbered"/>
        <w:numPr>
          <w:ilvl w:val="0"/>
          <w:numId w:val="0"/>
        </w:numPr>
        <w:spacing w:before="0" w:line="240" w:lineRule="auto"/>
        <w:ind w:left="720" w:hanging="720"/>
      </w:pPr>
    </w:p>
    <w:p w:rsidR="00C60555" w:rsidRDefault="00C60555" w:rsidP="00B7297D">
      <w:pPr>
        <w:pStyle w:val="COLNumbered"/>
        <w:numPr>
          <w:ilvl w:val="0"/>
          <w:numId w:val="0"/>
        </w:numPr>
        <w:spacing w:before="0" w:line="240" w:lineRule="auto"/>
        <w:ind w:left="720" w:hanging="720"/>
      </w:pPr>
    </w:p>
    <w:p w:rsidR="00C60555" w:rsidRDefault="00C60555" w:rsidP="00B7297D">
      <w:pPr>
        <w:pStyle w:val="COLNumbered"/>
        <w:numPr>
          <w:ilvl w:val="0"/>
          <w:numId w:val="0"/>
        </w:numPr>
        <w:spacing w:before="0" w:line="240" w:lineRule="auto"/>
        <w:ind w:left="720" w:hanging="720"/>
      </w:pPr>
    </w:p>
    <w:p w:rsidR="00AF1BC5" w:rsidRDefault="00AF1BC5" w:rsidP="00B7297D">
      <w:pPr>
        <w:pStyle w:val="COLNumbered"/>
        <w:numPr>
          <w:ilvl w:val="0"/>
          <w:numId w:val="0"/>
        </w:numPr>
        <w:spacing w:before="0" w:line="240" w:lineRule="auto"/>
        <w:ind w:left="720" w:hanging="720"/>
      </w:pPr>
    </w:p>
    <w:p w:rsidR="00AF1BC5" w:rsidRDefault="00AF1BC5" w:rsidP="00B7297D">
      <w:pPr>
        <w:pStyle w:val="COLNumbered"/>
        <w:numPr>
          <w:ilvl w:val="0"/>
          <w:numId w:val="0"/>
        </w:numPr>
        <w:spacing w:before="0" w:line="240" w:lineRule="auto"/>
        <w:ind w:left="720" w:hanging="720"/>
      </w:pPr>
    </w:p>
    <w:p w:rsidR="00B7297D" w:rsidRDefault="00AA68E0" w:rsidP="00AF1BC5">
      <w:pPr>
        <w:pStyle w:val="COLNumbered"/>
        <w:numPr>
          <w:ilvl w:val="0"/>
          <w:numId w:val="0"/>
        </w:numPr>
        <w:spacing w:before="0" w:line="240" w:lineRule="auto"/>
        <w:ind w:left="720" w:hanging="720"/>
      </w:pPr>
      <w:r>
        <w:rPr>
          <w:b/>
        </w:rPr>
        <w:t>C.</w:t>
      </w:r>
      <w:r>
        <w:rPr>
          <w:b/>
        </w:rPr>
        <w:tab/>
        <w:t>Ordering Paragraphs</w:t>
      </w:r>
    </w:p>
    <w:p w:rsidR="00B7297D" w:rsidRDefault="00B7297D" w:rsidP="00AF1BC5">
      <w:pPr>
        <w:pStyle w:val="COLNumbered"/>
        <w:numPr>
          <w:ilvl w:val="0"/>
          <w:numId w:val="0"/>
        </w:numPr>
        <w:spacing w:before="0" w:line="240" w:lineRule="auto"/>
        <w:ind w:left="720" w:hanging="720"/>
      </w:pPr>
    </w:p>
    <w:p w:rsidR="00B7297D" w:rsidRDefault="00B7297D" w:rsidP="00AF1BC5">
      <w:pPr>
        <w:pStyle w:val="COLNumbered"/>
        <w:numPr>
          <w:ilvl w:val="0"/>
          <w:numId w:val="0"/>
        </w:numPr>
        <w:spacing w:before="0" w:line="240" w:lineRule="auto"/>
      </w:pPr>
      <w:r>
        <w:tab/>
        <w:t>In accordance with the above findings of fact and conclusions of law, the Commission issues the following Order:</w:t>
      </w:r>
    </w:p>
    <w:p w:rsidR="00B7297D" w:rsidRDefault="00B7297D" w:rsidP="00AF1BC5">
      <w:pPr>
        <w:pStyle w:val="COLNumbered"/>
        <w:numPr>
          <w:ilvl w:val="0"/>
          <w:numId w:val="0"/>
        </w:numPr>
        <w:spacing w:before="0" w:line="240" w:lineRule="auto"/>
      </w:pPr>
    </w:p>
    <w:p w:rsidR="00B7297D" w:rsidRDefault="00207AE6" w:rsidP="00AF1BC5">
      <w:pPr>
        <w:pStyle w:val="COLNumbered"/>
        <w:numPr>
          <w:ilvl w:val="0"/>
          <w:numId w:val="45"/>
        </w:numPr>
        <w:spacing w:before="0" w:line="240" w:lineRule="auto"/>
        <w:ind w:hanging="720"/>
      </w:pPr>
      <w:r>
        <w:t>Douglas</w:t>
      </w:r>
      <w:r w:rsidR="00B7297D">
        <w:t>’s Application for a water rate/tariff is withdrawn</w:t>
      </w:r>
      <w:r w:rsidR="00BF2635">
        <w:t xml:space="preserve"> effective September 2, 2015</w:t>
      </w:r>
      <w:r w:rsidR="00B7297D">
        <w:t>.</w:t>
      </w:r>
    </w:p>
    <w:p w:rsidR="00B7297D" w:rsidRDefault="00B7297D" w:rsidP="00AF1BC5">
      <w:pPr>
        <w:pStyle w:val="COLNumbered"/>
        <w:numPr>
          <w:ilvl w:val="0"/>
          <w:numId w:val="0"/>
        </w:numPr>
        <w:spacing w:before="0" w:line="240" w:lineRule="auto"/>
        <w:ind w:left="720"/>
      </w:pPr>
    </w:p>
    <w:p w:rsidR="00B7297D" w:rsidRDefault="00BF2635" w:rsidP="00AF1BC5">
      <w:pPr>
        <w:pStyle w:val="COLNumbered"/>
        <w:numPr>
          <w:ilvl w:val="0"/>
          <w:numId w:val="45"/>
        </w:numPr>
        <w:spacing w:before="0" w:line="240" w:lineRule="auto"/>
        <w:ind w:hanging="720"/>
      </w:pPr>
      <w:r>
        <w:t>Effective</w:t>
      </w:r>
      <w:r w:rsidR="00B7297D">
        <w:t xml:space="preserve"> </w:t>
      </w:r>
      <w:r w:rsidR="00C8064C">
        <w:t>August 1</w:t>
      </w:r>
      <w:r>
        <w:t>0</w:t>
      </w:r>
      <w:r w:rsidR="00C8064C">
        <w:t>, 2015</w:t>
      </w:r>
      <w:r w:rsidR="00B7297D">
        <w:t xml:space="preserve">, </w:t>
      </w:r>
      <w:r w:rsidR="00207AE6">
        <w:t>Douglas</w:t>
      </w:r>
      <w:r w:rsidR="00B7297D">
        <w:t xml:space="preserve"> shall charge the historic rates in place prior to its March 12, 2013 Application.</w:t>
      </w:r>
    </w:p>
    <w:p w:rsidR="00B7297D" w:rsidRDefault="00B7297D" w:rsidP="00AF1BC5">
      <w:pPr>
        <w:pStyle w:val="COLNumbered"/>
        <w:numPr>
          <w:ilvl w:val="0"/>
          <w:numId w:val="0"/>
        </w:numPr>
        <w:spacing w:before="0" w:line="240" w:lineRule="auto"/>
        <w:ind w:left="720"/>
      </w:pPr>
    </w:p>
    <w:p w:rsidR="00C8064C" w:rsidRDefault="00B7297D" w:rsidP="00AF1BC5">
      <w:pPr>
        <w:pStyle w:val="COLNumbered"/>
        <w:numPr>
          <w:ilvl w:val="0"/>
          <w:numId w:val="45"/>
        </w:numPr>
        <w:spacing w:before="0" w:line="240" w:lineRule="auto"/>
        <w:ind w:hanging="720"/>
      </w:pPr>
      <w:r>
        <w:t xml:space="preserve">Within </w:t>
      </w:r>
      <w:r w:rsidR="001E5E17">
        <w:t xml:space="preserve">12 </w:t>
      </w:r>
      <w:r>
        <w:t xml:space="preserve">months after this order is signed, </w:t>
      </w:r>
      <w:r w:rsidR="00207AE6">
        <w:t>Douglas</w:t>
      </w:r>
      <w:r>
        <w:t xml:space="preserve"> shall make all refunds</w:t>
      </w:r>
      <w:r w:rsidR="00C8064C">
        <w:t xml:space="preserve"> shown in Exhibit A.</w:t>
      </w:r>
    </w:p>
    <w:p w:rsidR="00C8064C" w:rsidRDefault="00C8064C" w:rsidP="00AF1BC5">
      <w:pPr>
        <w:pStyle w:val="ListParagraph"/>
      </w:pPr>
    </w:p>
    <w:p w:rsidR="00B7297D" w:rsidRDefault="00C8064C" w:rsidP="00AF1BC5">
      <w:pPr>
        <w:pStyle w:val="COLNumbered"/>
        <w:numPr>
          <w:ilvl w:val="0"/>
          <w:numId w:val="45"/>
        </w:numPr>
        <w:spacing w:before="0" w:line="240" w:lineRule="auto"/>
        <w:ind w:hanging="720"/>
      </w:pPr>
      <w:r>
        <w:t xml:space="preserve">Within </w:t>
      </w:r>
      <w:r w:rsidR="001E5E17">
        <w:t>24</w:t>
      </w:r>
      <w:r>
        <w:t xml:space="preserve"> months</w:t>
      </w:r>
      <w:r w:rsidR="001E5E17">
        <w:t xml:space="preserve"> after this order is signed</w:t>
      </w:r>
      <w:r>
        <w:t xml:space="preserve">, </w:t>
      </w:r>
      <w:r w:rsidR="00207AE6">
        <w:t>Douglas</w:t>
      </w:r>
      <w:r>
        <w:t xml:space="preserve"> shall collect all surcharges</w:t>
      </w:r>
      <w:r w:rsidR="00B7297D">
        <w:t xml:space="preserve"> shown in Exhibit A.</w:t>
      </w:r>
    </w:p>
    <w:p w:rsidR="00B7297D" w:rsidRDefault="00B7297D" w:rsidP="00AF1BC5">
      <w:pPr>
        <w:pStyle w:val="COLNumbered"/>
        <w:numPr>
          <w:ilvl w:val="0"/>
          <w:numId w:val="0"/>
        </w:numPr>
        <w:spacing w:before="0" w:line="240" w:lineRule="auto"/>
        <w:ind w:left="720"/>
      </w:pPr>
    </w:p>
    <w:p w:rsidR="00B7297D" w:rsidRDefault="00B7297D" w:rsidP="00AF1BC5">
      <w:pPr>
        <w:pStyle w:val="COLNumbered"/>
        <w:numPr>
          <w:ilvl w:val="0"/>
          <w:numId w:val="45"/>
        </w:numPr>
        <w:spacing w:before="0" w:line="240" w:lineRule="auto"/>
        <w:ind w:hanging="720"/>
      </w:pPr>
      <w:r>
        <w:t>Within 30 days of effectuating the ordered refund</w:t>
      </w:r>
      <w:r w:rsidR="00AC204A">
        <w:t>s</w:t>
      </w:r>
      <w:r>
        <w:t xml:space="preserve">, </w:t>
      </w:r>
      <w:r w:rsidR="00207AE6">
        <w:t>Douglas</w:t>
      </w:r>
      <w:r>
        <w:t xml:space="preserve"> shall file proof of the same</w:t>
      </w:r>
      <w:r w:rsidR="00AA68E0">
        <w:t xml:space="preserve"> in </w:t>
      </w:r>
      <w:r w:rsidR="00AA68E0">
        <w:rPr>
          <w:i/>
        </w:rPr>
        <w:t>Douglas Utility Company Water and Sewer Rate/Tariff Refunds/Surcharges Compliance Docket</w:t>
      </w:r>
      <w:r w:rsidR="00AA68E0">
        <w:t>, Docket No. _______</w:t>
      </w:r>
      <w:r w:rsidR="00AA68E0">
        <w:rPr>
          <w:i/>
        </w:rPr>
        <w:t xml:space="preserve"> </w:t>
      </w:r>
      <w:r>
        <w:t>.</w:t>
      </w:r>
    </w:p>
    <w:p w:rsidR="00B7297D" w:rsidRDefault="00B7297D" w:rsidP="00AF1BC5">
      <w:pPr>
        <w:pStyle w:val="COLNumbered"/>
        <w:numPr>
          <w:ilvl w:val="0"/>
          <w:numId w:val="0"/>
        </w:numPr>
        <w:spacing w:before="0" w:line="240" w:lineRule="auto"/>
        <w:ind w:left="720"/>
      </w:pPr>
    </w:p>
    <w:p w:rsidR="00B7297D" w:rsidRDefault="00B7297D" w:rsidP="00AF1BC5">
      <w:pPr>
        <w:pStyle w:val="COLNumbered"/>
        <w:numPr>
          <w:ilvl w:val="0"/>
          <w:numId w:val="45"/>
        </w:numPr>
        <w:spacing w:before="0" w:line="240" w:lineRule="auto"/>
        <w:ind w:hanging="720"/>
      </w:pPr>
      <w:r>
        <w:t>All other motions, requests for entry of specific findings of fact and/or conclusions of law, and other requests for general or specific relief, if not expressly granted, are denied.</w:t>
      </w:r>
    </w:p>
    <w:p w:rsidR="00232E08" w:rsidRPr="00790247" w:rsidRDefault="00232E08" w:rsidP="00AF1BC5">
      <w:pPr>
        <w:widowControl/>
        <w:spacing w:line="480" w:lineRule="auto"/>
      </w:pPr>
    </w:p>
    <w:p w:rsidR="00232E08" w:rsidRDefault="00232E08" w:rsidP="00AF1BC5">
      <w:pPr>
        <w:widowControl/>
        <w:ind w:firstLine="720"/>
        <w:rPr>
          <w:b/>
        </w:rPr>
      </w:pPr>
      <w:r w:rsidRPr="00D66531">
        <w:rPr>
          <w:b/>
        </w:rPr>
        <w:t>SIGNED</w:t>
      </w:r>
      <w:r>
        <w:rPr>
          <w:b/>
        </w:rPr>
        <w:t xml:space="preserve"> </w:t>
      </w:r>
      <w:r w:rsidR="00AF1BC5">
        <w:rPr>
          <w:b/>
        </w:rPr>
        <w:t>March 29</w:t>
      </w:r>
      <w:r w:rsidR="00C8064C">
        <w:rPr>
          <w:b/>
        </w:rPr>
        <w:t>, 2016</w:t>
      </w:r>
      <w:r>
        <w:rPr>
          <w:b/>
        </w:rPr>
        <w:t>.</w:t>
      </w:r>
    </w:p>
    <w:p w:rsidR="00232E08" w:rsidRDefault="00232E08" w:rsidP="001631ED">
      <w:pPr>
        <w:widowControl/>
        <w:ind w:left="72" w:right="-1354" w:hanging="432"/>
        <w:rPr>
          <w:noProof/>
        </w:rPr>
      </w:pPr>
      <w:r>
        <w:rPr>
          <w:noProof/>
        </w:rPr>
        <w:t xml:space="preserve">                </w:t>
      </w:r>
    </w:p>
    <w:p w:rsidR="0023104B" w:rsidRDefault="00676D02" w:rsidP="00AF1BC5">
      <w:pPr>
        <w:pStyle w:val="FOFNumbered"/>
        <w:numPr>
          <w:ilvl w:val="0"/>
          <w:numId w:val="0"/>
        </w:numPr>
        <w:spacing w:before="0" w:line="240" w:lineRule="auto"/>
        <w:ind w:left="3600"/>
        <w:jc w:val="right"/>
        <w:rPr>
          <w:noProof/>
        </w:rPr>
      </w:pPr>
      <w:r>
        <w:rPr>
          <w:noProof/>
        </w:rPr>
        <w:drawing>
          <wp:inline distT="0" distB="0" distL="0" distR="0" wp14:anchorId="1F03AEE5" wp14:editId="6B59593C">
            <wp:extent cx="3267075" cy="9276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clrChange>
                        <a:clrFrom>
                          <a:srgbClr val="FFFFFF"/>
                        </a:clrFrom>
                        <a:clrTo>
                          <a:srgbClr val="FFFFFF">
                            <a:alpha val="0"/>
                          </a:srgbClr>
                        </a:clrTo>
                      </a:clrChange>
                      <a:extLst>
                        <a:ext uri="{BEBA8EAE-BF5A-486C-A8C5-ECC9F3942E4B}">
                          <a14:imgProps xmlns:a14="http://schemas.microsoft.com/office/drawing/2010/main">
                            <a14:imgLayer r:embed="rId9">
                              <a14:imgEffect>
                                <a14:sharpenSoften amount="50000"/>
                              </a14:imgEffect>
                            </a14:imgLayer>
                          </a14:imgProps>
                        </a:ext>
                      </a:extLst>
                    </a:blip>
                    <a:stretch>
                      <a:fillRect/>
                    </a:stretch>
                  </pic:blipFill>
                  <pic:spPr>
                    <a:xfrm>
                      <a:off x="0" y="0"/>
                      <a:ext cx="3275624" cy="930031"/>
                    </a:xfrm>
                    <a:prstGeom prst="rect">
                      <a:avLst/>
                    </a:prstGeom>
                  </pic:spPr>
                </pic:pic>
              </a:graphicData>
            </a:graphic>
          </wp:inline>
        </w:drawing>
      </w:r>
    </w:p>
    <w:sectPr w:rsidR="0023104B" w:rsidSect="000A0063">
      <w:headerReference w:type="default" r:id="rId10"/>
      <w:pgSz w:w="12240" w:h="15840" w:code="1"/>
      <w:pgMar w:top="1440" w:right="1440" w:bottom="1260" w:left="1440" w:header="1008" w:footer="144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84C" w:rsidRDefault="0003484C">
      <w:r>
        <w:separator/>
      </w:r>
    </w:p>
  </w:endnote>
  <w:endnote w:type="continuationSeparator" w:id="0">
    <w:p w:rsidR="0003484C" w:rsidRDefault="0003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84C" w:rsidRDefault="0003484C">
      <w:r>
        <w:separator/>
      </w:r>
    </w:p>
  </w:footnote>
  <w:footnote w:type="continuationSeparator" w:id="0">
    <w:p w:rsidR="0003484C" w:rsidRDefault="0003484C">
      <w:r>
        <w:continuationSeparator/>
      </w:r>
    </w:p>
  </w:footnote>
  <w:footnote w:id="1">
    <w:p w:rsidR="00A86842" w:rsidRDefault="00A86842" w:rsidP="00A86842">
      <w:pPr>
        <w:pStyle w:val="FootnoteText"/>
        <w:spacing w:after="120"/>
        <w:jc w:val="both"/>
      </w:pPr>
      <w:r w:rsidRPr="00A86842">
        <w:rPr>
          <w:rStyle w:val="FootnoteReference"/>
          <w:vertAlign w:val="superscript"/>
        </w:rPr>
        <w:footnoteRef/>
      </w:r>
      <w:r>
        <w:t xml:space="preserve">  On March 14, 2016, Staff filed an amended Exhibit A, which was agreed to by the parties.  That version of Exhibit A is attached to this PFD.  </w:t>
      </w:r>
    </w:p>
  </w:footnote>
  <w:footnote w:id="2">
    <w:p w:rsidR="005534FD" w:rsidRPr="005534FD" w:rsidRDefault="005534FD" w:rsidP="00481D63">
      <w:pPr>
        <w:pStyle w:val="FootnoteText"/>
        <w:spacing w:after="120"/>
        <w:jc w:val="both"/>
        <w:rPr>
          <w:vertAlign w:val="superscript"/>
        </w:rPr>
      </w:pPr>
      <w:r w:rsidRPr="005534FD">
        <w:rPr>
          <w:rStyle w:val="FootnoteReference"/>
          <w:vertAlign w:val="superscript"/>
        </w:rPr>
        <w:footnoteRef/>
      </w:r>
      <w:r w:rsidR="00AF1BC5">
        <w:t xml:space="preserve">  D</w:t>
      </w:r>
      <w:r>
        <w:t xml:space="preserve">uring the mediation, Douglas and the other parties determined that Douglas had double-billed the fees charged by the City of Houston under the City’s Groundwater Reduction Plan.  Thereafter, Douglas revised its billings so the Groundwater Reduction Plan fee was charged correctly.  The issue of refunds for the over-collected fees was carried along in this case to be resolved in the final order.  The parties have agreed to the amount of refunds due for these over-collected fees, and those refunds are included in Exhibit A to this PFD.  </w:t>
      </w:r>
    </w:p>
  </w:footnote>
  <w:footnote w:id="3">
    <w:p w:rsidR="002F58AC" w:rsidRPr="00ED2088" w:rsidRDefault="002F58AC" w:rsidP="005534FD">
      <w:pPr>
        <w:pStyle w:val="FootnoteText"/>
        <w:spacing w:after="120"/>
        <w:jc w:val="both"/>
      </w:pPr>
      <w:r w:rsidRPr="00207AE6">
        <w:rPr>
          <w:rStyle w:val="FootnoteReference"/>
          <w:vertAlign w:val="superscript"/>
        </w:rPr>
        <w:footnoteRef/>
      </w:r>
      <w:r w:rsidR="00AF1BC5">
        <w:t xml:space="preserve">  D</w:t>
      </w:r>
      <w:r w:rsidR="00ED2088">
        <w:t>ouglas Utility Company’s Response to the Executive Director’s Motion to Dismiss and Remand</w:t>
      </w:r>
      <w:r w:rsidR="005534FD">
        <w:t xml:space="preserve"> (Sept</w:t>
      </w:r>
      <w:r w:rsidR="003F77E0">
        <w:t>.</w:t>
      </w:r>
      <w:r w:rsidR="005534FD">
        <w:t> 4, 2014).</w:t>
      </w:r>
    </w:p>
  </w:footnote>
  <w:footnote w:id="4">
    <w:p w:rsidR="00A55D13" w:rsidRDefault="00A55D13" w:rsidP="00A55D13">
      <w:pPr>
        <w:pStyle w:val="FootnoteText"/>
        <w:keepNext/>
        <w:spacing w:after="120"/>
        <w:jc w:val="both"/>
      </w:pPr>
      <w:r w:rsidRPr="005713DD">
        <w:rPr>
          <w:rStyle w:val="FootnoteReference"/>
          <w:vertAlign w:val="superscript"/>
        </w:rPr>
        <w:footnoteRef/>
      </w:r>
      <w:r>
        <w:t xml:space="preserve">  In addition, SOAH Docket No. 582-14-</w:t>
      </w:r>
      <w:r w:rsidR="005534FD">
        <w:t>1052</w:t>
      </w:r>
      <w:r>
        <w:t xml:space="preserve"> became SOAH Docket No. 473-14-5</w:t>
      </w:r>
      <w:r w:rsidR="005534FD">
        <w:t>140.WS</w:t>
      </w:r>
      <w:r>
        <w:t xml:space="preserve">, and TCEQ Docket </w:t>
      </w:r>
      <w:r w:rsidR="00C9242F">
        <w:t>No. </w:t>
      </w:r>
      <w:r w:rsidR="005534FD">
        <w:t>2013-1735.UCR</w:t>
      </w:r>
      <w:r>
        <w:t xml:space="preserve"> became PUC Docket No. 42</w:t>
      </w:r>
      <w:r w:rsidR="005534FD">
        <w:t>860</w:t>
      </w:r>
      <w:r>
        <w:t>.</w:t>
      </w:r>
    </w:p>
  </w:footnote>
  <w:footnote w:id="5">
    <w:p w:rsidR="00207AE6" w:rsidRDefault="00207AE6" w:rsidP="00A55D13">
      <w:pPr>
        <w:pStyle w:val="FootnoteText"/>
        <w:spacing w:after="120"/>
        <w:jc w:val="both"/>
      </w:pPr>
      <w:r w:rsidRPr="00207AE6">
        <w:rPr>
          <w:rStyle w:val="FootnoteReference"/>
          <w:vertAlign w:val="superscript"/>
        </w:rPr>
        <w:footnoteRef/>
      </w:r>
      <w:r>
        <w:t xml:space="preserve">  </w:t>
      </w:r>
      <w:r w:rsidRPr="00207AE6">
        <w:t xml:space="preserve">The notice explained that Douglas was founded by Herbert Zieben, who </w:t>
      </w:r>
      <w:r w:rsidR="00A55D13">
        <w:t>is</w:t>
      </w:r>
      <w:r w:rsidRPr="00207AE6">
        <w:t xml:space="preserve"> deceased.  After </w:t>
      </w:r>
      <w:r w:rsidR="00AC204A">
        <w:t xml:space="preserve">Mr. Zieben’s </w:t>
      </w:r>
      <w:r w:rsidRPr="00207AE6">
        <w:t xml:space="preserve">death, his widow, Carol Zieben, began managing Douglas.  Ms. Zieben controlled Douglas during the test year and the subsequent preparation and filing of the Application.  During this time, Mr. Zieben’s estate was the subject of a probate contest in Harris County.  As a result of that litigation, Mr. Zieben’s sons, Lee Zieben and Alan Zieben, gained control of Douglas.  </w:t>
      </w:r>
      <w:r w:rsidR="00A55D13">
        <w:t>Mssrs.</w:t>
      </w:r>
      <w:r w:rsidRPr="00207AE6">
        <w:t xml:space="preserve"> Zieben decided to withdraw the Application and resume chargin</w:t>
      </w:r>
      <w:r>
        <w:t>g</w:t>
      </w:r>
      <w:r w:rsidRPr="00207AE6">
        <w:t xml:space="preserve"> the rates that were in effect prior</w:t>
      </w:r>
      <w:r w:rsidR="00A55D13">
        <w:t xml:space="preserve"> to the Application being filed</w:t>
      </w:r>
      <w:r w:rsidRPr="00207AE6">
        <w:t xml:space="preserve">, which were the most recent state-approved rates.  </w:t>
      </w:r>
      <w:r w:rsidR="00A55D13">
        <w:t>Mssrs.</w:t>
      </w:r>
      <w:r w:rsidRPr="00207AE6">
        <w:t xml:space="preserve"> Zieben plan to operate Douglas for at least a 12-month test year while they attempt to rehabilitate the sewer treatment plan.  After accumulating adequate test year data, they </w:t>
      </w:r>
      <w:r>
        <w:t>intend</w:t>
      </w:r>
      <w:r w:rsidRPr="00207AE6">
        <w:t xml:space="preserve"> to file a new rate application.  </w:t>
      </w:r>
    </w:p>
  </w:footnote>
  <w:footnote w:id="6">
    <w:p w:rsidR="00A55D13" w:rsidRDefault="00A55D13" w:rsidP="00A55D13">
      <w:pPr>
        <w:pStyle w:val="FootnoteText"/>
        <w:spacing w:after="120"/>
      </w:pPr>
      <w:r w:rsidRPr="00A55D13">
        <w:rPr>
          <w:rStyle w:val="FootnoteReference"/>
          <w:vertAlign w:val="superscript"/>
        </w:rPr>
        <w:footnoteRef/>
      </w:r>
      <w:r>
        <w:t xml:space="preserve">  Application at 13, 26.</w:t>
      </w:r>
    </w:p>
  </w:footnote>
  <w:footnote w:id="7">
    <w:p w:rsidR="000C4FD8" w:rsidRDefault="000C4FD8" w:rsidP="00207AE6">
      <w:pPr>
        <w:pStyle w:val="FootnoteText"/>
        <w:spacing w:after="120"/>
      </w:pPr>
      <w:r w:rsidRPr="008A656A">
        <w:rPr>
          <w:rStyle w:val="FootnoteReference"/>
          <w:vertAlign w:val="superscript"/>
        </w:rPr>
        <w:footnoteRef/>
      </w:r>
      <w:r>
        <w:t xml:space="preserve">  Hearing recording at </w:t>
      </w:r>
      <w:r w:rsidR="00F4246E">
        <w:t>22:32</w:t>
      </w:r>
      <w:r>
        <w:t xml:space="preserve">. </w:t>
      </w:r>
      <w:r w:rsidR="00A86842">
        <w:t xml:space="preserve"> </w:t>
      </w:r>
    </w:p>
  </w:footnote>
  <w:footnote w:id="8">
    <w:p w:rsidR="00F4246E" w:rsidRDefault="00F4246E" w:rsidP="00207AE6">
      <w:pPr>
        <w:pStyle w:val="FootnoteText"/>
        <w:spacing w:after="120"/>
        <w:jc w:val="both"/>
      </w:pPr>
      <w:r w:rsidRPr="008A656A">
        <w:rPr>
          <w:rStyle w:val="FootnoteReference"/>
          <w:vertAlign w:val="superscript"/>
        </w:rPr>
        <w:footnoteRef/>
      </w:r>
      <w:r>
        <w:t xml:space="preserve">  Equality’s attorney was authorized to speak on behalf of </w:t>
      </w:r>
      <w:r w:rsidR="008A656A">
        <w:t>Karl E</w:t>
      </w:r>
      <w:r>
        <w:t>. Wolf,</w:t>
      </w:r>
      <w:r w:rsidR="00F01808">
        <w:t xml:space="preserve"> representative of</w:t>
      </w:r>
      <w:r w:rsidR="008A656A">
        <w:t xml:space="preserve"> Fountainview,</w:t>
      </w:r>
      <w:r>
        <w:t xml:space="preserve"> at the </w:t>
      </w:r>
      <w:r w:rsidR="00AC204A">
        <w:t>telephone</w:t>
      </w:r>
      <w:r>
        <w:t xml:space="preserve"> conference.  Hearing recording at 40:23.</w:t>
      </w:r>
    </w:p>
  </w:footnote>
  <w:footnote w:id="9">
    <w:p w:rsidR="004C5DFB" w:rsidRDefault="004C5DFB" w:rsidP="00207AE6">
      <w:pPr>
        <w:pStyle w:val="FootnoteText"/>
        <w:spacing w:after="120"/>
      </w:pPr>
      <w:r w:rsidRPr="004C5DFB">
        <w:rPr>
          <w:rStyle w:val="FootnoteReference"/>
          <w:vertAlign w:val="superscript"/>
        </w:rPr>
        <w:footnoteRef/>
      </w:r>
      <w:r>
        <w:t xml:space="preserve">  </w:t>
      </w:r>
      <w:r w:rsidR="00C9242F">
        <w:t>PURA</w:t>
      </w:r>
      <w:r>
        <w:t xml:space="preserve"> § 17.152(</w:t>
      </w:r>
      <w:r w:rsidR="00C9242F">
        <w:t>a</w:t>
      </w:r>
      <w:r>
        <w:t>)</w:t>
      </w:r>
      <w:r w:rsidR="00C9242F">
        <w:t>(3)</w:t>
      </w:r>
      <w:r>
        <w:t>.</w:t>
      </w:r>
    </w:p>
  </w:footnote>
  <w:footnote w:id="10">
    <w:p w:rsidR="00AC204A" w:rsidRDefault="00AC204A" w:rsidP="00AC204A">
      <w:pPr>
        <w:pStyle w:val="FootnoteText"/>
        <w:spacing w:after="120"/>
        <w:jc w:val="both"/>
      </w:pPr>
      <w:r w:rsidRPr="00E605F1">
        <w:rPr>
          <w:rStyle w:val="FootnoteReference"/>
          <w:vertAlign w:val="superscript"/>
        </w:rPr>
        <w:footnoteRef/>
      </w:r>
      <w:r>
        <w:t xml:space="preserve">  Douglas declined to provide such information during the telephone conference, stating that a full evidentiary hearing would be necessary in order for Douglas to provide information regarding its financial integrity.  However, the parties agreed that an evidentiary hearing was neither necessary nor desirable given the length of time that the case has already been pending.  Hearing recording at 43:30-46:40.</w:t>
      </w:r>
    </w:p>
  </w:footnote>
  <w:footnote w:id="11">
    <w:p w:rsidR="00F544B0" w:rsidRPr="00F544B0" w:rsidRDefault="00F544B0" w:rsidP="00CA7331">
      <w:pPr>
        <w:pStyle w:val="FootnoteText"/>
        <w:spacing w:after="120"/>
      </w:pPr>
      <w:r w:rsidRPr="00F544B0">
        <w:rPr>
          <w:rStyle w:val="FootnoteReference"/>
          <w:vertAlign w:val="superscript"/>
        </w:rPr>
        <w:footnoteRef/>
      </w:r>
      <w:r w:rsidR="00AF1BC5">
        <w:rPr>
          <w:i/>
        </w:rPr>
        <w:t xml:space="preserve">  S</w:t>
      </w:r>
      <w:r w:rsidRPr="00647C3D">
        <w:rPr>
          <w:i/>
        </w:rPr>
        <w:t>ee</w:t>
      </w:r>
      <w:r>
        <w:t xml:space="preserve"> </w:t>
      </w:r>
      <w:r w:rsidR="00AC204A">
        <w:t>Exhibit</w:t>
      </w:r>
      <w:r>
        <w:t xml:space="preserve"> A, attached.</w:t>
      </w:r>
    </w:p>
  </w:footnote>
  <w:footnote w:id="12">
    <w:p w:rsidR="00C35CE6" w:rsidRDefault="00C35CE6" w:rsidP="00CA7331">
      <w:pPr>
        <w:pStyle w:val="FootnoteText"/>
        <w:spacing w:after="120"/>
        <w:jc w:val="both"/>
      </w:pPr>
      <w:r w:rsidRPr="00207AE6">
        <w:rPr>
          <w:rStyle w:val="FootnoteReference"/>
          <w:vertAlign w:val="superscript"/>
        </w:rPr>
        <w:footnoteRef/>
      </w:r>
      <w:r>
        <w:t xml:space="preserve">  Equality owns Haverstock Hills Apartments.  </w:t>
      </w:r>
    </w:p>
  </w:footnote>
  <w:footnote w:id="13">
    <w:p w:rsidR="00F544B0" w:rsidRDefault="00F544B0" w:rsidP="00125778">
      <w:pPr>
        <w:pStyle w:val="FootnoteText"/>
        <w:spacing w:after="120"/>
        <w:jc w:val="both"/>
      </w:pPr>
      <w:r w:rsidRPr="00C8064C">
        <w:rPr>
          <w:rStyle w:val="FootnoteReference"/>
          <w:vertAlign w:val="superscript"/>
        </w:rPr>
        <w:footnoteRef/>
      </w:r>
      <w:r>
        <w:t xml:space="preserve">  </w:t>
      </w:r>
      <w:r w:rsidRPr="00F01808">
        <w:rPr>
          <w:i/>
        </w:rPr>
        <w:t>Order Approving the Application of HHJ, Inc. d/b/a Decker Utilities to Change Water and Sewer Rates</w:t>
      </w:r>
      <w:r w:rsidR="00AC204A">
        <w:t xml:space="preserve">, </w:t>
      </w:r>
      <w:r>
        <w:t xml:space="preserve"> TCEQ Docket No. 2008-0164-UCR</w:t>
      </w:r>
      <w:r w:rsidR="00AC204A">
        <w:t>,</w:t>
      </w:r>
      <w:r>
        <w:t xml:space="preserve"> SOAH Docket No. 582-08-1719 (Apr</w:t>
      </w:r>
      <w:r w:rsidR="003F77E0">
        <w:t>.</w:t>
      </w:r>
      <w:r>
        <w:t xml:space="preserve"> 19, 2011) at COL No. 12.</w:t>
      </w:r>
    </w:p>
  </w:footnote>
  <w:footnote w:id="14">
    <w:p w:rsidR="00F544B0" w:rsidRPr="006969A4" w:rsidRDefault="00F544B0" w:rsidP="00125778">
      <w:pPr>
        <w:pStyle w:val="FootnoteText"/>
        <w:spacing w:after="120"/>
        <w:jc w:val="both"/>
      </w:pPr>
      <w:r w:rsidRPr="00C8064C">
        <w:rPr>
          <w:rStyle w:val="FootnoteReference"/>
          <w:vertAlign w:val="superscript"/>
        </w:rPr>
        <w:footnoteRef/>
      </w:r>
      <w:r>
        <w:t xml:space="preserve">  </w:t>
      </w:r>
      <w:r w:rsidRPr="00C8064C">
        <w:rPr>
          <w:i/>
        </w:rPr>
        <w:t>Id.</w:t>
      </w:r>
      <w:r>
        <w:t xml:space="preserve"> at Explanation of Changes No. 6. </w:t>
      </w:r>
      <w:r w:rsidR="006969A4">
        <w:t xml:space="preserve"> The total amount of money to be refunded, including interest, was approximately $449,036.16 based on the amount per customer per month times 542 connections.  </w:t>
      </w:r>
      <w:r w:rsidR="006969A4">
        <w:rPr>
          <w:i/>
        </w:rPr>
        <w:t xml:space="preserve">Id. </w:t>
      </w:r>
      <w:r w:rsidR="006969A4">
        <w:t xml:space="preserve">at FOF </w:t>
      </w:r>
      <w:r w:rsidR="003F77E0">
        <w:t>N</w:t>
      </w:r>
      <w:r w:rsidR="006969A4">
        <w:t>o. 21, COL No. 12.</w:t>
      </w:r>
    </w:p>
  </w:footnote>
  <w:footnote w:id="15">
    <w:p w:rsidR="00F6028F" w:rsidRPr="00F6028F" w:rsidRDefault="00F6028F" w:rsidP="00125778">
      <w:pPr>
        <w:pStyle w:val="FootnoteText"/>
        <w:spacing w:after="120"/>
        <w:jc w:val="both"/>
      </w:pPr>
      <w:r w:rsidRPr="00207AE6">
        <w:rPr>
          <w:rStyle w:val="FootnoteReference"/>
          <w:vertAlign w:val="superscript"/>
        </w:rPr>
        <w:footnoteRef/>
      </w:r>
      <w:r>
        <w:t xml:space="preserve">  </w:t>
      </w:r>
      <w:r>
        <w:rPr>
          <w:i/>
        </w:rPr>
        <w:t>Application of Suburban Utility Company for a Water Rate/Tariff Change Under Certificate of Convenience and Necessity No. 10835 in Harris County, Texas</w:t>
      </w:r>
      <w:r w:rsidR="00C9242F">
        <w:t>, Docket No. 42859,</w:t>
      </w:r>
      <w:r w:rsidR="00835AEE">
        <w:t xml:space="preserve"> </w:t>
      </w:r>
      <w:r>
        <w:t>Order</w:t>
      </w:r>
      <w:r w:rsidR="00C9242F">
        <w:t xml:space="preserve"> (May 1, 2015) </w:t>
      </w:r>
      <w:r>
        <w:t xml:space="preserve">at </w:t>
      </w:r>
      <w:r w:rsidR="00835AEE">
        <w:t>Ordering Paragraph 3.</w:t>
      </w:r>
    </w:p>
  </w:footnote>
  <w:footnote w:id="16">
    <w:p w:rsidR="00835AEE" w:rsidRPr="00835AEE" w:rsidRDefault="00835AEE" w:rsidP="00125778">
      <w:pPr>
        <w:pStyle w:val="FootnoteText"/>
        <w:spacing w:after="120"/>
        <w:jc w:val="both"/>
      </w:pPr>
      <w:r w:rsidRPr="00C8064C">
        <w:rPr>
          <w:rStyle w:val="FootnoteReference"/>
          <w:vertAlign w:val="superscript"/>
        </w:rPr>
        <w:footnoteRef/>
      </w:r>
      <w:r>
        <w:t xml:space="preserve">  </w:t>
      </w:r>
      <w:r>
        <w:rPr>
          <w:i/>
        </w:rPr>
        <w:t>Compliance Docket Related to Refunds from Docket No. 42859</w:t>
      </w:r>
      <w:r>
        <w:t>, Docket No. 44681, Suburban Utility Co’s Summary and Response to and Notice of Compliance with Order No. 1 in this Case</w:t>
      </w:r>
      <w:r w:rsidR="003F77E0">
        <w:t xml:space="preserve"> (Oct. 18, 2015)</w:t>
      </w:r>
      <w:r>
        <w:t>.</w:t>
      </w:r>
    </w:p>
  </w:footnote>
  <w:footnote w:id="17">
    <w:p w:rsidR="00835AEE" w:rsidRPr="00835AEE" w:rsidRDefault="00835AEE" w:rsidP="00125778">
      <w:pPr>
        <w:pStyle w:val="FootnoteText"/>
        <w:spacing w:after="120"/>
        <w:jc w:val="both"/>
        <w:rPr>
          <w:i/>
        </w:rPr>
      </w:pPr>
      <w:r w:rsidRPr="00C8064C">
        <w:rPr>
          <w:rStyle w:val="FootnoteReference"/>
          <w:vertAlign w:val="superscript"/>
        </w:rPr>
        <w:footnoteRef/>
      </w:r>
      <w:r>
        <w:t xml:space="preserve">  </w:t>
      </w:r>
      <w:r>
        <w:rPr>
          <w:i/>
        </w:rPr>
        <w:t>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84C" w:rsidRDefault="0003484C" w:rsidP="00834277">
    <w:pPr>
      <w:tabs>
        <w:tab w:val="left" w:pos="-1440"/>
        <w:tab w:val="left" w:pos="-720"/>
        <w:tab w:val="left" w:pos="0"/>
        <w:tab w:val="left" w:pos="720"/>
        <w:tab w:val="left" w:pos="1440"/>
        <w:tab w:val="left" w:pos="2160"/>
        <w:tab w:val="left" w:pos="2880"/>
        <w:tab w:val="left" w:pos="3600"/>
        <w:tab w:val="left" w:pos="4680"/>
        <w:tab w:val="left" w:pos="5760"/>
        <w:tab w:val="left" w:pos="6480"/>
        <w:tab w:val="left" w:pos="7200"/>
        <w:tab w:val="left" w:pos="8640"/>
        <w:tab w:val="right" w:pos="9360"/>
      </w:tabs>
      <w:ind w:left="8640" w:hanging="8640"/>
      <w:rPr>
        <w:b/>
        <w:bCs/>
        <w:sz w:val="20"/>
        <w:szCs w:val="20"/>
      </w:rPr>
    </w:pPr>
    <w:r>
      <w:rPr>
        <w:b/>
        <w:bCs/>
        <w:sz w:val="20"/>
        <w:szCs w:val="20"/>
      </w:rPr>
      <w:t>SOAH DOCKET NO. 473-14-514</w:t>
    </w:r>
    <w:r w:rsidR="003E60D9">
      <w:rPr>
        <w:b/>
        <w:bCs/>
        <w:sz w:val="20"/>
        <w:szCs w:val="20"/>
      </w:rPr>
      <w:t>0</w:t>
    </w:r>
    <w:r>
      <w:rPr>
        <w:b/>
        <w:bCs/>
        <w:sz w:val="20"/>
        <w:szCs w:val="20"/>
      </w:rPr>
      <w:t>.WS</w:t>
    </w:r>
    <w:r>
      <w:rPr>
        <w:b/>
        <w:bCs/>
        <w:sz w:val="20"/>
        <w:szCs w:val="20"/>
      </w:rPr>
      <w:tab/>
    </w:r>
    <w:r>
      <w:rPr>
        <w:b/>
        <w:bCs/>
        <w:sz w:val="20"/>
        <w:szCs w:val="20"/>
      </w:rPr>
      <w:tab/>
      <w:t>PROPOSAL FOR DECISION</w:t>
    </w:r>
    <w:r>
      <w:rPr>
        <w:b/>
        <w:bCs/>
        <w:sz w:val="20"/>
        <w:szCs w:val="20"/>
      </w:rPr>
      <w:tab/>
    </w:r>
    <w:r>
      <w:rPr>
        <w:b/>
        <w:bCs/>
        <w:sz w:val="20"/>
        <w:szCs w:val="20"/>
      </w:rPr>
      <w:tab/>
      <w:t xml:space="preserve">PAGE </w:t>
    </w:r>
    <w:r>
      <w:rPr>
        <w:b/>
        <w:bCs/>
        <w:sz w:val="20"/>
        <w:szCs w:val="20"/>
      </w:rPr>
      <w:fldChar w:fldCharType="begin"/>
    </w:r>
    <w:r>
      <w:rPr>
        <w:b/>
        <w:bCs/>
        <w:sz w:val="20"/>
        <w:szCs w:val="20"/>
      </w:rPr>
      <w:instrText xml:space="preserve">PAGE </w:instrText>
    </w:r>
    <w:r>
      <w:rPr>
        <w:b/>
        <w:bCs/>
        <w:sz w:val="20"/>
        <w:szCs w:val="20"/>
      </w:rPr>
      <w:fldChar w:fldCharType="separate"/>
    </w:r>
    <w:r w:rsidR="00330F6B">
      <w:rPr>
        <w:b/>
        <w:bCs/>
        <w:noProof/>
        <w:sz w:val="20"/>
        <w:szCs w:val="20"/>
      </w:rPr>
      <w:t>3</w:t>
    </w:r>
    <w:r>
      <w:rPr>
        <w:b/>
        <w:bCs/>
        <w:sz w:val="20"/>
        <w:szCs w:val="20"/>
      </w:rPr>
      <w:fldChar w:fldCharType="end"/>
    </w:r>
  </w:p>
  <w:p w:rsidR="0003484C" w:rsidRDefault="003E60D9" w:rsidP="00774BFD">
    <w:pPr>
      <w:rPr>
        <w:b/>
        <w:bCs/>
        <w:sz w:val="20"/>
        <w:szCs w:val="20"/>
      </w:rPr>
    </w:pPr>
    <w:r>
      <w:rPr>
        <w:b/>
        <w:bCs/>
        <w:sz w:val="20"/>
        <w:szCs w:val="20"/>
      </w:rPr>
      <w:t>PUC DOCKET NO. 42860</w:t>
    </w:r>
  </w:p>
  <w:p w:rsidR="0003484C" w:rsidRDefault="0003484C" w:rsidP="000971D7">
    <w:pPr>
      <w:spacing w:line="244" w:lineRule="auto"/>
      <w:rPr>
        <w:b/>
        <w:bCs/>
        <w:sz w:val="20"/>
        <w:szCs w:val="20"/>
      </w:rPr>
    </w:pPr>
  </w:p>
  <w:p w:rsidR="0003484C" w:rsidRDefault="0003484C" w:rsidP="000971D7">
    <w:pPr>
      <w:spacing w:line="244" w:lineRule="auto"/>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6102878"/>
    <w:lvl w:ilvl="0">
      <w:numFmt w:val="bullet"/>
      <w:lvlText w:val="*"/>
      <w:lvlJc w:val="left"/>
    </w:lvl>
  </w:abstractNum>
  <w:abstractNum w:abstractNumId="1" w15:restartNumberingAfterBreak="0">
    <w:nsid w:val="00000001"/>
    <w:multiLevelType w:val="multilevel"/>
    <w:tmpl w:val="00000000"/>
    <w:name w:val="â"/>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2"/>
    <w:multiLevelType w:val="multilevel"/>
    <w:tmpl w:val="00000000"/>
    <w:name w:val="â"/>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42B0EBA"/>
    <w:multiLevelType w:val="hybridMultilevel"/>
    <w:tmpl w:val="7234CD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917C3"/>
    <w:multiLevelType w:val="hybridMultilevel"/>
    <w:tmpl w:val="B66E3C5A"/>
    <w:lvl w:ilvl="0" w:tplc="5F88623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9C73882"/>
    <w:multiLevelType w:val="hybridMultilevel"/>
    <w:tmpl w:val="344CA57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A8F3D5E"/>
    <w:multiLevelType w:val="singleLevel"/>
    <w:tmpl w:val="57BE6A96"/>
    <w:lvl w:ilvl="0">
      <w:start w:val="1"/>
      <w:numFmt w:val="decimal"/>
      <w:pStyle w:val="FOFNumbered"/>
      <w:lvlText w:val="%1."/>
      <w:lvlJc w:val="left"/>
      <w:pPr>
        <w:tabs>
          <w:tab w:val="num" w:pos="1530"/>
        </w:tabs>
        <w:ind w:left="153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0C98493D"/>
    <w:multiLevelType w:val="hybridMultilevel"/>
    <w:tmpl w:val="5358D0B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164356"/>
    <w:multiLevelType w:val="hybridMultilevel"/>
    <w:tmpl w:val="E892E790"/>
    <w:lvl w:ilvl="0" w:tplc="B3C03D7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0F33597E"/>
    <w:multiLevelType w:val="hybridMultilevel"/>
    <w:tmpl w:val="0BB0B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B237BC"/>
    <w:multiLevelType w:val="hybridMultilevel"/>
    <w:tmpl w:val="AC3AACA2"/>
    <w:lvl w:ilvl="0" w:tplc="ABB4A1F8">
      <w:start w:val="1"/>
      <w:numFmt w:val="bullet"/>
      <w:pStyle w:val="ListBullet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191CD2"/>
    <w:multiLevelType w:val="hybridMultilevel"/>
    <w:tmpl w:val="D0DACE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F132C2"/>
    <w:multiLevelType w:val="hybridMultilevel"/>
    <w:tmpl w:val="F206530E"/>
    <w:lvl w:ilvl="0" w:tplc="AF2A91B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9737A8A"/>
    <w:multiLevelType w:val="hybridMultilevel"/>
    <w:tmpl w:val="BB4A7916"/>
    <w:lvl w:ilvl="0" w:tplc="3874462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842E4B"/>
    <w:multiLevelType w:val="hybridMultilevel"/>
    <w:tmpl w:val="DA2C846E"/>
    <w:lvl w:ilvl="0" w:tplc="8EA827A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392584C"/>
    <w:multiLevelType w:val="hybridMultilevel"/>
    <w:tmpl w:val="89A02AD2"/>
    <w:lvl w:ilvl="0" w:tplc="983816E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9B840BA"/>
    <w:multiLevelType w:val="hybridMultilevel"/>
    <w:tmpl w:val="126C2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4E5ED7"/>
    <w:multiLevelType w:val="hybridMultilevel"/>
    <w:tmpl w:val="71CC217A"/>
    <w:lvl w:ilvl="0" w:tplc="62164F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A6DD6"/>
    <w:multiLevelType w:val="hybridMultilevel"/>
    <w:tmpl w:val="02AE3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F3CF9"/>
    <w:multiLevelType w:val="hybridMultilevel"/>
    <w:tmpl w:val="9EDE1A6A"/>
    <w:lvl w:ilvl="0" w:tplc="D60C4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A473C"/>
    <w:multiLevelType w:val="hybridMultilevel"/>
    <w:tmpl w:val="49E065F0"/>
    <w:lvl w:ilvl="0" w:tplc="69A8DAB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3132BE9"/>
    <w:multiLevelType w:val="hybridMultilevel"/>
    <w:tmpl w:val="FD9879AA"/>
    <w:lvl w:ilvl="0" w:tplc="7CB8305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53E516C"/>
    <w:multiLevelType w:val="hybridMultilevel"/>
    <w:tmpl w:val="48F2E2B4"/>
    <w:lvl w:ilvl="0" w:tplc="6B806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9B05D0"/>
    <w:multiLevelType w:val="hybridMultilevel"/>
    <w:tmpl w:val="218A2512"/>
    <w:lvl w:ilvl="0" w:tplc="E6D402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07636A"/>
    <w:multiLevelType w:val="hybridMultilevel"/>
    <w:tmpl w:val="3BA82CCA"/>
    <w:lvl w:ilvl="0" w:tplc="8B68C0A6">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AF71F4"/>
    <w:multiLevelType w:val="hybridMultilevel"/>
    <w:tmpl w:val="F80C9BDE"/>
    <w:lvl w:ilvl="0" w:tplc="D2BADE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DDF25BC"/>
    <w:multiLevelType w:val="hybridMultilevel"/>
    <w:tmpl w:val="D0DACE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5E101D"/>
    <w:multiLevelType w:val="hybridMultilevel"/>
    <w:tmpl w:val="DB04E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921EB"/>
    <w:multiLevelType w:val="hybridMultilevel"/>
    <w:tmpl w:val="9E06FA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29322D"/>
    <w:multiLevelType w:val="hybridMultilevel"/>
    <w:tmpl w:val="2AEE60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9C06ADB"/>
    <w:multiLevelType w:val="hybridMultilevel"/>
    <w:tmpl w:val="D0DACE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4E3557"/>
    <w:multiLevelType w:val="hybridMultilevel"/>
    <w:tmpl w:val="8CAC0EAC"/>
    <w:lvl w:ilvl="0" w:tplc="80768C9A">
      <w:start w:val="1"/>
      <w:numFmt w:val="decimal"/>
      <w:pStyle w:val="Penny"/>
      <w:lvlText w:val="%1."/>
      <w:lvlJc w:val="left"/>
      <w:pPr>
        <w:ind w:left="72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097443"/>
    <w:multiLevelType w:val="hybridMultilevel"/>
    <w:tmpl w:val="E934E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F7F01"/>
    <w:multiLevelType w:val="hybridMultilevel"/>
    <w:tmpl w:val="0D34BF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7F5D01"/>
    <w:multiLevelType w:val="hybridMultilevel"/>
    <w:tmpl w:val="83327608"/>
    <w:lvl w:ilvl="0" w:tplc="5A8898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B57EA8"/>
    <w:multiLevelType w:val="hybridMultilevel"/>
    <w:tmpl w:val="E9005EE4"/>
    <w:lvl w:ilvl="0" w:tplc="D37EFF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4E031A2"/>
    <w:multiLevelType w:val="hybridMultilevel"/>
    <w:tmpl w:val="9BD2325C"/>
    <w:lvl w:ilvl="0" w:tplc="ADECD61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A5D5107"/>
    <w:multiLevelType w:val="hybridMultilevel"/>
    <w:tmpl w:val="D0DACE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0B4046"/>
    <w:multiLevelType w:val="hybridMultilevel"/>
    <w:tmpl w:val="D8B68156"/>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6F6B1C74"/>
    <w:multiLevelType w:val="multilevel"/>
    <w:tmpl w:val="8910C118"/>
    <w:lvl w:ilvl="0">
      <w:start w:val="1"/>
      <w:numFmt w:val="upperRoman"/>
      <w:suff w:val="space"/>
      <w:lvlText w:val="%1."/>
      <w:lvlJc w:val="center"/>
      <w:pPr>
        <w:ind w:left="0" w:firstLine="288"/>
      </w:pPr>
      <w:rPr>
        <w:rFonts w:hint="default"/>
      </w:rPr>
    </w:lvl>
    <w:lvl w:ilvl="1">
      <w:start w:val="1"/>
      <w:numFmt w:val="upperLetter"/>
      <w:suff w:val="space"/>
      <w:lvlText w:val="%2."/>
      <w:lvlJc w:val="center"/>
      <w:pPr>
        <w:ind w:left="0" w:firstLine="0"/>
      </w:pPr>
      <w:rPr>
        <w:rFonts w:hint="default"/>
      </w:rPr>
    </w:lvl>
    <w:lvl w:ilvl="2">
      <w:start w:val="1"/>
      <w:numFmt w:val="decimal"/>
      <w:pStyle w:val="COLNumbered"/>
      <w:lvlText w:val="%3."/>
      <w:lvlJc w:val="left"/>
      <w:pPr>
        <w:tabs>
          <w:tab w:val="num" w:pos="360"/>
        </w:tabs>
        <w:ind w:left="0" w:firstLine="0"/>
      </w:pPr>
      <w:rPr>
        <w:rFonts w:hint="default"/>
        <w:b w:val="0"/>
      </w:rPr>
    </w:lvl>
    <w:lvl w:ilvl="3">
      <w:start w:val="1"/>
      <w:numFmt w:val="lowerLetter"/>
      <w:pStyle w:val="OrderingNumbered"/>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upperLetter"/>
      <w:lvlText w:val="(%6) "/>
      <w:lvlJc w:val="left"/>
      <w:pPr>
        <w:tabs>
          <w:tab w:val="num" w:pos="3960"/>
        </w:tabs>
        <w:ind w:left="3600" w:firstLine="0"/>
      </w:pPr>
      <w:rPr>
        <w:rFonts w:hint="default"/>
      </w:rPr>
    </w:lvl>
    <w:lvl w:ilvl="6">
      <w:start w:val="1"/>
      <w:numFmt w:val="upp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15:restartNumberingAfterBreak="0">
    <w:nsid w:val="70042C1E"/>
    <w:multiLevelType w:val="hybridMultilevel"/>
    <w:tmpl w:val="18A0F9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D725E4"/>
    <w:multiLevelType w:val="hybridMultilevel"/>
    <w:tmpl w:val="9000BEE4"/>
    <w:lvl w:ilvl="0" w:tplc="C5E8E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22C3F6F"/>
    <w:multiLevelType w:val="hybridMultilevel"/>
    <w:tmpl w:val="623889CE"/>
    <w:lvl w:ilvl="0" w:tplc="844E2E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70A0B1F"/>
    <w:multiLevelType w:val="hybridMultilevel"/>
    <w:tmpl w:val="917258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7F53F22"/>
    <w:multiLevelType w:val="hybridMultilevel"/>
    <w:tmpl w:val="547464AE"/>
    <w:lvl w:ilvl="0" w:tplc="0578300C">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5" w15:restartNumberingAfterBreak="0">
    <w:nsid w:val="7807022B"/>
    <w:multiLevelType w:val="hybridMultilevel"/>
    <w:tmpl w:val="D75A28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AAC5947"/>
    <w:multiLevelType w:val="hybridMultilevel"/>
    <w:tmpl w:val="92821C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CEE7D11"/>
    <w:multiLevelType w:val="hybridMultilevel"/>
    <w:tmpl w:val="9000BEE4"/>
    <w:lvl w:ilvl="0" w:tplc="C5E8E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D3D6AB6"/>
    <w:multiLevelType w:val="hybridMultilevel"/>
    <w:tmpl w:val="0D142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5A4C5A"/>
    <w:multiLevelType w:val="hybridMultilevel"/>
    <w:tmpl w:val="A5D8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720"/>
        <w:lvlJc w:val="left"/>
        <w:pPr>
          <w:ind w:left="1440" w:hanging="720"/>
        </w:pPr>
        <w:rPr>
          <w:rFonts w:ascii="Times New Roman" w:hAnsi="Times New Roman" w:cs="Times New Roman" w:hint="default"/>
        </w:rPr>
      </w:lvl>
    </w:lvlOverride>
  </w:num>
  <w:num w:numId="2">
    <w:abstractNumId w:val="24"/>
  </w:num>
  <w:num w:numId="3">
    <w:abstractNumId w:val="31"/>
  </w:num>
  <w:num w:numId="4">
    <w:abstractNumId w:val="49"/>
  </w:num>
  <w:num w:numId="5">
    <w:abstractNumId w:val="5"/>
  </w:num>
  <w:num w:numId="6">
    <w:abstractNumId w:val="32"/>
  </w:num>
  <w:num w:numId="7">
    <w:abstractNumId w:val="27"/>
  </w:num>
  <w:num w:numId="8">
    <w:abstractNumId w:val="10"/>
  </w:num>
  <w:num w:numId="9">
    <w:abstractNumId w:val="45"/>
  </w:num>
  <w:num w:numId="10">
    <w:abstractNumId w:val="38"/>
  </w:num>
  <w:num w:numId="11">
    <w:abstractNumId w:val="34"/>
  </w:num>
  <w:num w:numId="12">
    <w:abstractNumId w:val="29"/>
  </w:num>
  <w:num w:numId="13">
    <w:abstractNumId w:val="26"/>
  </w:num>
  <w:num w:numId="14">
    <w:abstractNumId w:val="37"/>
  </w:num>
  <w:num w:numId="15">
    <w:abstractNumId w:val="11"/>
  </w:num>
  <w:num w:numId="16">
    <w:abstractNumId w:val="30"/>
  </w:num>
  <w:num w:numId="17">
    <w:abstractNumId w:val="43"/>
  </w:num>
  <w:num w:numId="18">
    <w:abstractNumId w:val="35"/>
  </w:num>
  <w:num w:numId="19">
    <w:abstractNumId w:val="13"/>
  </w:num>
  <w:num w:numId="20">
    <w:abstractNumId w:val="3"/>
  </w:num>
  <w:num w:numId="21">
    <w:abstractNumId w:val="40"/>
  </w:num>
  <w:num w:numId="22">
    <w:abstractNumId w:val="39"/>
  </w:num>
  <w:num w:numId="23">
    <w:abstractNumId w:val="9"/>
  </w:num>
  <w:num w:numId="24">
    <w:abstractNumId w:val="6"/>
  </w:num>
  <w:num w:numId="25">
    <w:abstractNumId w:val="46"/>
  </w:num>
  <w:num w:numId="26">
    <w:abstractNumId w:val="17"/>
  </w:num>
  <w:num w:numId="27">
    <w:abstractNumId w:val="14"/>
  </w:num>
  <w:num w:numId="28">
    <w:abstractNumId w:val="15"/>
  </w:num>
  <w:num w:numId="29">
    <w:abstractNumId w:val="8"/>
  </w:num>
  <w:num w:numId="30">
    <w:abstractNumId w:val="12"/>
  </w:num>
  <w:num w:numId="31">
    <w:abstractNumId w:val="19"/>
  </w:num>
  <w:num w:numId="32">
    <w:abstractNumId w:val="22"/>
  </w:num>
  <w:num w:numId="33">
    <w:abstractNumId w:val="25"/>
  </w:num>
  <w:num w:numId="34">
    <w:abstractNumId w:val="47"/>
  </w:num>
  <w:num w:numId="35">
    <w:abstractNumId w:val="20"/>
  </w:num>
  <w:num w:numId="36">
    <w:abstractNumId w:val="4"/>
  </w:num>
  <w:num w:numId="37">
    <w:abstractNumId w:val="36"/>
  </w:num>
  <w:num w:numId="38">
    <w:abstractNumId w:val="42"/>
  </w:num>
  <w:num w:numId="39">
    <w:abstractNumId w:val="23"/>
  </w:num>
  <w:num w:numId="40">
    <w:abstractNumId w:val="21"/>
  </w:num>
  <w:num w:numId="41">
    <w:abstractNumId w:val="41"/>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num>
  <w:num w:numId="44">
    <w:abstractNumId w:val="16"/>
  </w:num>
  <w:num w:numId="45">
    <w:abstractNumId w:val="18"/>
  </w:num>
  <w:num w:numId="46">
    <w:abstractNumId w:val="7"/>
  </w:num>
  <w:num w:numId="47">
    <w:abstractNumId w:val="28"/>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3347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D51"/>
    <w:rsid w:val="00000FF3"/>
    <w:rsid w:val="00002D5D"/>
    <w:rsid w:val="00002DE2"/>
    <w:rsid w:val="00003471"/>
    <w:rsid w:val="00003CD0"/>
    <w:rsid w:val="000048CA"/>
    <w:rsid w:val="00005157"/>
    <w:rsid w:val="000123E4"/>
    <w:rsid w:val="00013985"/>
    <w:rsid w:val="00013E69"/>
    <w:rsid w:val="000146FA"/>
    <w:rsid w:val="00014CD3"/>
    <w:rsid w:val="00015B67"/>
    <w:rsid w:val="00015F8D"/>
    <w:rsid w:val="000163DF"/>
    <w:rsid w:val="0002024D"/>
    <w:rsid w:val="00020828"/>
    <w:rsid w:val="000222BD"/>
    <w:rsid w:val="00023A14"/>
    <w:rsid w:val="00026A95"/>
    <w:rsid w:val="00027D73"/>
    <w:rsid w:val="0003119D"/>
    <w:rsid w:val="00031971"/>
    <w:rsid w:val="00034282"/>
    <w:rsid w:val="0003484C"/>
    <w:rsid w:val="00034DC0"/>
    <w:rsid w:val="00034DFE"/>
    <w:rsid w:val="00035E3E"/>
    <w:rsid w:val="00036543"/>
    <w:rsid w:val="000368C4"/>
    <w:rsid w:val="00041126"/>
    <w:rsid w:val="000411D6"/>
    <w:rsid w:val="00042DDF"/>
    <w:rsid w:val="0004360A"/>
    <w:rsid w:val="00044512"/>
    <w:rsid w:val="000445AC"/>
    <w:rsid w:val="000472C5"/>
    <w:rsid w:val="000508FC"/>
    <w:rsid w:val="00052551"/>
    <w:rsid w:val="00053071"/>
    <w:rsid w:val="000532CA"/>
    <w:rsid w:val="000538BB"/>
    <w:rsid w:val="000539B3"/>
    <w:rsid w:val="0005435E"/>
    <w:rsid w:val="000550A1"/>
    <w:rsid w:val="0005579B"/>
    <w:rsid w:val="00062788"/>
    <w:rsid w:val="00062B42"/>
    <w:rsid w:val="00063369"/>
    <w:rsid w:val="00064E8F"/>
    <w:rsid w:val="000671A3"/>
    <w:rsid w:val="00070027"/>
    <w:rsid w:val="000703AF"/>
    <w:rsid w:val="0007167E"/>
    <w:rsid w:val="000725D1"/>
    <w:rsid w:val="000745E6"/>
    <w:rsid w:val="00074DAF"/>
    <w:rsid w:val="00076597"/>
    <w:rsid w:val="0008404F"/>
    <w:rsid w:val="00084993"/>
    <w:rsid w:val="00085F9E"/>
    <w:rsid w:val="0008612B"/>
    <w:rsid w:val="0009259B"/>
    <w:rsid w:val="00092C5D"/>
    <w:rsid w:val="00093394"/>
    <w:rsid w:val="00094728"/>
    <w:rsid w:val="00094917"/>
    <w:rsid w:val="00094D13"/>
    <w:rsid w:val="000971D7"/>
    <w:rsid w:val="000A0063"/>
    <w:rsid w:val="000A4161"/>
    <w:rsid w:val="000A5469"/>
    <w:rsid w:val="000B41AA"/>
    <w:rsid w:val="000B5489"/>
    <w:rsid w:val="000B5840"/>
    <w:rsid w:val="000C0068"/>
    <w:rsid w:val="000C0AC8"/>
    <w:rsid w:val="000C1115"/>
    <w:rsid w:val="000C1F2E"/>
    <w:rsid w:val="000C294E"/>
    <w:rsid w:val="000C2EBA"/>
    <w:rsid w:val="000C35E3"/>
    <w:rsid w:val="000C49C3"/>
    <w:rsid w:val="000C4FD8"/>
    <w:rsid w:val="000C7013"/>
    <w:rsid w:val="000C7561"/>
    <w:rsid w:val="000D1EFD"/>
    <w:rsid w:val="000E193E"/>
    <w:rsid w:val="000E21DC"/>
    <w:rsid w:val="000E5837"/>
    <w:rsid w:val="000E5CFE"/>
    <w:rsid w:val="000E6588"/>
    <w:rsid w:val="000E660A"/>
    <w:rsid w:val="000F0251"/>
    <w:rsid w:val="000F2102"/>
    <w:rsid w:val="000F2465"/>
    <w:rsid w:val="000F5711"/>
    <w:rsid w:val="000F6EED"/>
    <w:rsid w:val="00101007"/>
    <w:rsid w:val="00106AB9"/>
    <w:rsid w:val="00107930"/>
    <w:rsid w:val="001122EA"/>
    <w:rsid w:val="00112E14"/>
    <w:rsid w:val="00113957"/>
    <w:rsid w:val="00113A44"/>
    <w:rsid w:val="001145DA"/>
    <w:rsid w:val="00115A91"/>
    <w:rsid w:val="00115EF4"/>
    <w:rsid w:val="0012014F"/>
    <w:rsid w:val="00120D5D"/>
    <w:rsid w:val="00121D73"/>
    <w:rsid w:val="00124024"/>
    <w:rsid w:val="00124F28"/>
    <w:rsid w:val="00125778"/>
    <w:rsid w:val="001257A1"/>
    <w:rsid w:val="00127876"/>
    <w:rsid w:val="00130883"/>
    <w:rsid w:val="00134D65"/>
    <w:rsid w:val="00136C16"/>
    <w:rsid w:val="00137CFB"/>
    <w:rsid w:val="00141379"/>
    <w:rsid w:val="00144FC4"/>
    <w:rsid w:val="001451C9"/>
    <w:rsid w:val="00146307"/>
    <w:rsid w:val="0015070B"/>
    <w:rsid w:val="00154562"/>
    <w:rsid w:val="001547AA"/>
    <w:rsid w:val="00155107"/>
    <w:rsid w:val="001601D6"/>
    <w:rsid w:val="001614B3"/>
    <w:rsid w:val="00162EBA"/>
    <w:rsid w:val="001631B4"/>
    <w:rsid w:val="001631ED"/>
    <w:rsid w:val="001717FA"/>
    <w:rsid w:val="00175129"/>
    <w:rsid w:val="00175925"/>
    <w:rsid w:val="00177BE8"/>
    <w:rsid w:val="001816D1"/>
    <w:rsid w:val="00182598"/>
    <w:rsid w:val="00182D13"/>
    <w:rsid w:val="00182D70"/>
    <w:rsid w:val="0018382F"/>
    <w:rsid w:val="001846DB"/>
    <w:rsid w:val="001853AF"/>
    <w:rsid w:val="001933F6"/>
    <w:rsid w:val="001943F0"/>
    <w:rsid w:val="001948FD"/>
    <w:rsid w:val="00195E7C"/>
    <w:rsid w:val="00195F02"/>
    <w:rsid w:val="001A0B96"/>
    <w:rsid w:val="001A204A"/>
    <w:rsid w:val="001A290B"/>
    <w:rsid w:val="001A705E"/>
    <w:rsid w:val="001A7197"/>
    <w:rsid w:val="001B0893"/>
    <w:rsid w:val="001B1047"/>
    <w:rsid w:val="001B185E"/>
    <w:rsid w:val="001B36FE"/>
    <w:rsid w:val="001B46E3"/>
    <w:rsid w:val="001B642F"/>
    <w:rsid w:val="001C1267"/>
    <w:rsid w:val="001C1C56"/>
    <w:rsid w:val="001C3B51"/>
    <w:rsid w:val="001C48E3"/>
    <w:rsid w:val="001C504D"/>
    <w:rsid w:val="001D1F5C"/>
    <w:rsid w:val="001D47F6"/>
    <w:rsid w:val="001D52C6"/>
    <w:rsid w:val="001D5BAB"/>
    <w:rsid w:val="001D61D4"/>
    <w:rsid w:val="001D6F56"/>
    <w:rsid w:val="001D7BDD"/>
    <w:rsid w:val="001E0211"/>
    <w:rsid w:val="001E12CC"/>
    <w:rsid w:val="001E1AE6"/>
    <w:rsid w:val="001E34E4"/>
    <w:rsid w:val="001E38C9"/>
    <w:rsid w:val="001E46F9"/>
    <w:rsid w:val="001E4772"/>
    <w:rsid w:val="001E5E17"/>
    <w:rsid w:val="001F0873"/>
    <w:rsid w:val="001F1C28"/>
    <w:rsid w:val="001F2576"/>
    <w:rsid w:val="001F2A80"/>
    <w:rsid w:val="001F3E10"/>
    <w:rsid w:val="001F4165"/>
    <w:rsid w:val="001F4203"/>
    <w:rsid w:val="001F4B9C"/>
    <w:rsid w:val="001F754F"/>
    <w:rsid w:val="001F796A"/>
    <w:rsid w:val="002014DF"/>
    <w:rsid w:val="00203D95"/>
    <w:rsid w:val="002041E1"/>
    <w:rsid w:val="002053CE"/>
    <w:rsid w:val="00207AE6"/>
    <w:rsid w:val="00207F43"/>
    <w:rsid w:val="00211DBE"/>
    <w:rsid w:val="00212D79"/>
    <w:rsid w:val="0021433D"/>
    <w:rsid w:val="002160DB"/>
    <w:rsid w:val="0021727B"/>
    <w:rsid w:val="00220750"/>
    <w:rsid w:val="00220FC8"/>
    <w:rsid w:val="0022155C"/>
    <w:rsid w:val="002216E5"/>
    <w:rsid w:val="00221A73"/>
    <w:rsid w:val="00223855"/>
    <w:rsid w:val="00223A3C"/>
    <w:rsid w:val="00223E32"/>
    <w:rsid w:val="00230C07"/>
    <w:rsid w:val="0023104B"/>
    <w:rsid w:val="0023227A"/>
    <w:rsid w:val="00232E08"/>
    <w:rsid w:val="00233F6A"/>
    <w:rsid w:val="002342F2"/>
    <w:rsid w:val="002361C7"/>
    <w:rsid w:val="00240926"/>
    <w:rsid w:val="00244A31"/>
    <w:rsid w:val="00244EB2"/>
    <w:rsid w:val="002468DA"/>
    <w:rsid w:val="00253B95"/>
    <w:rsid w:val="002622E3"/>
    <w:rsid w:val="00266E35"/>
    <w:rsid w:val="00270CC5"/>
    <w:rsid w:val="00271A4F"/>
    <w:rsid w:val="00274ECE"/>
    <w:rsid w:val="00275E58"/>
    <w:rsid w:val="002773F9"/>
    <w:rsid w:val="00285605"/>
    <w:rsid w:val="00287731"/>
    <w:rsid w:val="00290944"/>
    <w:rsid w:val="00292D67"/>
    <w:rsid w:val="00295F8E"/>
    <w:rsid w:val="00295FC4"/>
    <w:rsid w:val="002962C0"/>
    <w:rsid w:val="002965A2"/>
    <w:rsid w:val="002A0AFE"/>
    <w:rsid w:val="002A0B91"/>
    <w:rsid w:val="002A139C"/>
    <w:rsid w:val="002A15D0"/>
    <w:rsid w:val="002A1D15"/>
    <w:rsid w:val="002A4C2A"/>
    <w:rsid w:val="002A5850"/>
    <w:rsid w:val="002A7064"/>
    <w:rsid w:val="002A709E"/>
    <w:rsid w:val="002A7541"/>
    <w:rsid w:val="002A7ADA"/>
    <w:rsid w:val="002A7B4D"/>
    <w:rsid w:val="002B0588"/>
    <w:rsid w:val="002B2E88"/>
    <w:rsid w:val="002B3E75"/>
    <w:rsid w:val="002B47C5"/>
    <w:rsid w:val="002B6147"/>
    <w:rsid w:val="002B6633"/>
    <w:rsid w:val="002C0769"/>
    <w:rsid w:val="002C3274"/>
    <w:rsid w:val="002C33E3"/>
    <w:rsid w:val="002C36E2"/>
    <w:rsid w:val="002C4B34"/>
    <w:rsid w:val="002C72C6"/>
    <w:rsid w:val="002D0000"/>
    <w:rsid w:val="002D08EA"/>
    <w:rsid w:val="002D1FB0"/>
    <w:rsid w:val="002D415C"/>
    <w:rsid w:val="002E1188"/>
    <w:rsid w:val="002E23EA"/>
    <w:rsid w:val="002E4E48"/>
    <w:rsid w:val="002F0318"/>
    <w:rsid w:val="002F1CCE"/>
    <w:rsid w:val="002F277C"/>
    <w:rsid w:val="002F58AC"/>
    <w:rsid w:val="003008A3"/>
    <w:rsid w:val="00302B2B"/>
    <w:rsid w:val="00305BC4"/>
    <w:rsid w:val="00306E04"/>
    <w:rsid w:val="00307816"/>
    <w:rsid w:val="0031144B"/>
    <w:rsid w:val="00314858"/>
    <w:rsid w:val="00314A1A"/>
    <w:rsid w:val="00316F0D"/>
    <w:rsid w:val="00322FFC"/>
    <w:rsid w:val="00323C8A"/>
    <w:rsid w:val="00325384"/>
    <w:rsid w:val="00325643"/>
    <w:rsid w:val="003303D0"/>
    <w:rsid w:val="00330F6B"/>
    <w:rsid w:val="003311E1"/>
    <w:rsid w:val="00333125"/>
    <w:rsid w:val="00334C90"/>
    <w:rsid w:val="00337D92"/>
    <w:rsid w:val="003414C2"/>
    <w:rsid w:val="00343036"/>
    <w:rsid w:val="003436AF"/>
    <w:rsid w:val="003445DB"/>
    <w:rsid w:val="00350173"/>
    <w:rsid w:val="00350837"/>
    <w:rsid w:val="0035116A"/>
    <w:rsid w:val="00352E16"/>
    <w:rsid w:val="003532F9"/>
    <w:rsid w:val="003549FC"/>
    <w:rsid w:val="0035613E"/>
    <w:rsid w:val="00357F86"/>
    <w:rsid w:val="00360B2A"/>
    <w:rsid w:val="00365014"/>
    <w:rsid w:val="003657E1"/>
    <w:rsid w:val="0036629D"/>
    <w:rsid w:val="00370449"/>
    <w:rsid w:val="00370F35"/>
    <w:rsid w:val="003736C8"/>
    <w:rsid w:val="0037384A"/>
    <w:rsid w:val="00376927"/>
    <w:rsid w:val="00376D03"/>
    <w:rsid w:val="00376F39"/>
    <w:rsid w:val="00380353"/>
    <w:rsid w:val="00380F92"/>
    <w:rsid w:val="0038133F"/>
    <w:rsid w:val="003817B8"/>
    <w:rsid w:val="00381E25"/>
    <w:rsid w:val="003845AB"/>
    <w:rsid w:val="00384F5B"/>
    <w:rsid w:val="003851ED"/>
    <w:rsid w:val="00385C75"/>
    <w:rsid w:val="00386348"/>
    <w:rsid w:val="003926B0"/>
    <w:rsid w:val="0039585F"/>
    <w:rsid w:val="00396482"/>
    <w:rsid w:val="00396C20"/>
    <w:rsid w:val="003A0843"/>
    <w:rsid w:val="003A1341"/>
    <w:rsid w:val="003A32DC"/>
    <w:rsid w:val="003A5757"/>
    <w:rsid w:val="003A605E"/>
    <w:rsid w:val="003A6771"/>
    <w:rsid w:val="003A7935"/>
    <w:rsid w:val="003B0DAC"/>
    <w:rsid w:val="003B1183"/>
    <w:rsid w:val="003B259A"/>
    <w:rsid w:val="003B2D4E"/>
    <w:rsid w:val="003B657F"/>
    <w:rsid w:val="003C03AE"/>
    <w:rsid w:val="003C327F"/>
    <w:rsid w:val="003C3B81"/>
    <w:rsid w:val="003C5266"/>
    <w:rsid w:val="003D1233"/>
    <w:rsid w:val="003D15AC"/>
    <w:rsid w:val="003D34FA"/>
    <w:rsid w:val="003D36C8"/>
    <w:rsid w:val="003D649F"/>
    <w:rsid w:val="003D717E"/>
    <w:rsid w:val="003D7A09"/>
    <w:rsid w:val="003E020C"/>
    <w:rsid w:val="003E1832"/>
    <w:rsid w:val="003E2200"/>
    <w:rsid w:val="003E3457"/>
    <w:rsid w:val="003E4958"/>
    <w:rsid w:val="003E4994"/>
    <w:rsid w:val="003E4A62"/>
    <w:rsid w:val="003E58CA"/>
    <w:rsid w:val="003E60D9"/>
    <w:rsid w:val="003E7A24"/>
    <w:rsid w:val="003F2D9A"/>
    <w:rsid w:val="003F7470"/>
    <w:rsid w:val="003F77E0"/>
    <w:rsid w:val="003F7E9E"/>
    <w:rsid w:val="00401437"/>
    <w:rsid w:val="00401507"/>
    <w:rsid w:val="00401EA8"/>
    <w:rsid w:val="004021E5"/>
    <w:rsid w:val="00403FD4"/>
    <w:rsid w:val="0040401E"/>
    <w:rsid w:val="00404B05"/>
    <w:rsid w:val="00404F0A"/>
    <w:rsid w:val="00404FC5"/>
    <w:rsid w:val="00406D60"/>
    <w:rsid w:val="00410500"/>
    <w:rsid w:val="0041105D"/>
    <w:rsid w:val="0041118C"/>
    <w:rsid w:val="004124CB"/>
    <w:rsid w:val="004136E1"/>
    <w:rsid w:val="00413D11"/>
    <w:rsid w:val="00415656"/>
    <w:rsid w:val="00421D51"/>
    <w:rsid w:val="00422D3F"/>
    <w:rsid w:val="004348F6"/>
    <w:rsid w:val="00436B88"/>
    <w:rsid w:val="00436BC2"/>
    <w:rsid w:val="00440154"/>
    <w:rsid w:val="004404C3"/>
    <w:rsid w:val="00440970"/>
    <w:rsid w:val="00441943"/>
    <w:rsid w:val="00441FE2"/>
    <w:rsid w:val="0044214C"/>
    <w:rsid w:val="004436F2"/>
    <w:rsid w:val="00443FAA"/>
    <w:rsid w:val="00444BB4"/>
    <w:rsid w:val="004455F1"/>
    <w:rsid w:val="00445C9C"/>
    <w:rsid w:val="00446C64"/>
    <w:rsid w:val="00447365"/>
    <w:rsid w:val="0045400F"/>
    <w:rsid w:val="00454792"/>
    <w:rsid w:val="00455CFB"/>
    <w:rsid w:val="00455F4E"/>
    <w:rsid w:val="00461156"/>
    <w:rsid w:val="00461DBF"/>
    <w:rsid w:val="0046482C"/>
    <w:rsid w:val="00466354"/>
    <w:rsid w:val="0046662A"/>
    <w:rsid w:val="004704C1"/>
    <w:rsid w:val="0047171F"/>
    <w:rsid w:val="004719D6"/>
    <w:rsid w:val="0047325C"/>
    <w:rsid w:val="00473DA3"/>
    <w:rsid w:val="00473EC3"/>
    <w:rsid w:val="00475122"/>
    <w:rsid w:val="004763BB"/>
    <w:rsid w:val="00481D63"/>
    <w:rsid w:val="00482540"/>
    <w:rsid w:val="00483512"/>
    <w:rsid w:val="0048495D"/>
    <w:rsid w:val="00486CF8"/>
    <w:rsid w:val="004873F0"/>
    <w:rsid w:val="004918EF"/>
    <w:rsid w:val="00492303"/>
    <w:rsid w:val="00492C2C"/>
    <w:rsid w:val="0049467C"/>
    <w:rsid w:val="00494795"/>
    <w:rsid w:val="00495757"/>
    <w:rsid w:val="00496299"/>
    <w:rsid w:val="004A09BB"/>
    <w:rsid w:val="004A2FB9"/>
    <w:rsid w:val="004A3CC0"/>
    <w:rsid w:val="004A4638"/>
    <w:rsid w:val="004A4A86"/>
    <w:rsid w:val="004A6B32"/>
    <w:rsid w:val="004B575E"/>
    <w:rsid w:val="004B7B00"/>
    <w:rsid w:val="004C17A5"/>
    <w:rsid w:val="004C3C94"/>
    <w:rsid w:val="004C4C17"/>
    <w:rsid w:val="004C5DFB"/>
    <w:rsid w:val="004C609F"/>
    <w:rsid w:val="004C72B4"/>
    <w:rsid w:val="004D458B"/>
    <w:rsid w:val="004D6F71"/>
    <w:rsid w:val="004E021D"/>
    <w:rsid w:val="004E0A37"/>
    <w:rsid w:val="004E2AF6"/>
    <w:rsid w:val="004E42FC"/>
    <w:rsid w:val="004E6B0C"/>
    <w:rsid w:val="004E799E"/>
    <w:rsid w:val="004F0B01"/>
    <w:rsid w:val="004F0BAC"/>
    <w:rsid w:val="004F17E6"/>
    <w:rsid w:val="004F2457"/>
    <w:rsid w:val="004F6FB7"/>
    <w:rsid w:val="005017C8"/>
    <w:rsid w:val="005027B4"/>
    <w:rsid w:val="00503745"/>
    <w:rsid w:val="005053D6"/>
    <w:rsid w:val="00506F6E"/>
    <w:rsid w:val="005109A4"/>
    <w:rsid w:val="00510C5C"/>
    <w:rsid w:val="0051444E"/>
    <w:rsid w:val="005166F1"/>
    <w:rsid w:val="00516C10"/>
    <w:rsid w:val="005226D9"/>
    <w:rsid w:val="00522CE3"/>
    <w:rsid w:val="00522E7A"/>
    <w:rsid w:val="00523EDD"/>
    <w:rsid w:val="00524BBF"/>
    <w:rsid w:val="00524E7A"/>
    <w:rsid w:val="00526E28"/>
    <w:rsid w:val="00537597"/>
    <w:rsid w:val="00542182"/>
    <w:rsid w:val="00542684"/>
    <w:rsid w:val="00544C7E"/>
    <w:rsid w:val="005474D2"/>
    <w:rsid w:val="00547640"/>
    <w:rsid w:val="0055031A"/>
    <w:rsid w:val="00551119"/>
    <w:rsid w:val="00551C6D"/>
    <w:rsid w:val="00552502"/>
    <w:rsid w:val="005534FD"/>
    <w:rsid w:val="00553981"/>
    <w:rsid w:val="005543B0"/>
    <w:rsid w:val="00554D49"/>
    <w:rsid w:val="005550ED"/>
    <w:rsid w:val="0055564A"/>
    <w:rsid w:val="00556C4E"/>
    <w:rsid w:val="005601B0"/>
    <w:rsid w:val="0056088F"/>
    <w:rsid w:val="0056446B"/>
    <w:rsid w:val="00565440"/>
    <w:rsid w:val="00565760"/>
    <w:rsid w:val="0056784C"/>
    <w:rsid w:val="005713C7"/>
    <w:rsid w:val="005713DD"/>
    <w:rsid w:val="00572E21"/>
    <w:rsid w:val="00574500"/>
    <w:rsid w:val="00574B27"/>
    <w:rsid w:val="00574BF3"/>
    <w:rsid w:val="00575F41"/>
    <w:rsid w:val="005773B5"/>
    <w:rsid w:val="00583D00"/>
    <w:rsid w:val="00584585"/>
    <w:rsid w:val="00584D13"/>
    <w:rsid w:val="00587A70"/>
    <w:rsid w:val="00587B85"/>
    <w:rsid w:val="00590777"/>
    <w:rsid w:val="0059126B"/>
    <w:rsid w:val="00591E49"/>
    <w:rsid w:val="00592A60"/>
    <w:rsid w:val="00595CAF"/>
    <w:rsid w:val="005A01F6"/>
    <w:rsid w:val="005A0788"/>
    <w:rsid w:val="005A416F"/>
    <w:rsid w:val="005A4D1A"/>
    <w:rsid w:val="005A4E23"/>
    <w:rsid w:val="005A5479"/>
    <w:rsid w:val="005A55C9"/>
    <w:rsid w:val="005A7FB4"/>
    <w:rsid w:val="005B1BF4"/>
    <w:rsid w:val="005B2C87"/>
    <w:rsid w:val="005B47E4"/>
    <w:rsid w:val="005B6C11"/>
    <w:rsid w:val="005C0CCF"/>
    <w:rsid w:val="005C1702"/>
    <w:rsid w:val="005C5E43"/>
    <w:rsid w:val="005C6AF4"/>
    <w:rsid w:val="005D0723"/>
    <w:rsid w:val="005D2733"/>
    <w:rsid w:val="005D384B"/>
    <w:rsid w:val="005D46ED"/>
    <w:rsid w:val="005D64B0"/>
    <w:rsid w:val="005D72E6"/>
    <w:rsid w:val="005D767D"/>
    <w:rsid w:val="005E05D7"/>
    <w:rsid w:val="005E16B7"/>
    <w:rsid w:val="005E18BD"/>
    <w:rsid w:val="005E1A1B"/>
    <w:rsid w:val="005E3707"/>
    <w:rsid w:val="005E6DE4"/>
    <w:rsid w:val="005E7148"/>
    <w:rsid w:val="005E7E81"/>
    <w:rsid w:val="005F6918"/>
    <w:rsid w:val="005F7028"/>
    <w:rsid w:val="005F73DF"/>
    <w:rsid w:val="005F7BEE"/>
    <w:rsid w:val="00600119"/>
    <w:rsid w:val="00602441"/>
    <w:rsid w:val="006034F7"/>
    <w:rsid w:val="00604D57"/>
    <w:rsid w:val="006050B2"/>
    <w:rsid w:val="0061445D"/>
    <w:rsid w:val="00614BC8"/>
    <w:rsid w:val="006207AE"/>
    <w:rsid w:val="0062240A"/>
    <w:rsid w:val="00630302"/>
    <w:rsid w:val="0063071A"/>
    <w:rsid w:val="00631265"/>
    <w:rsid w:val="006364A3"/>
    <w:rsid w:val="0063773B"/>
    <w:rsid w:val="00640CC6"/>
    <w:rsid w:val="00644262"/>
    <w:rsid w:val="00646774"/>
    <w:rsid w:val="00646798"/>
    <w:rsid w:val="0064683B"/>
    <w:rsid w:val="00647C3D"/>
    <w:rsid w:val="00651305"/>
    <w:rsid w:val="006554BE"/>
    <w:rsid w:val="00656F4B"/>
    <w:rsid w:val="0065733F"/>
    <w:rsid w:val="00660F76"/>
    <w:rsid w:val="00661B61"/>
    <w:rsid w:val="00662961"/>
    <w:rsid w:val="00663CBB"/>
    <w:rsid w:val="006646AA"/>
    <w:rsid w:val="00664B20"/>
    <w:rsid w:val="00666028"/>
    <w:rsid w:val="00666EE5"/>
    <w:rsid w:val="00666F70"/>
    <w:rsid w:val="00671255"/>
    <w:rsid w:val="00671664"/>
    <w:rsid w:val="00672B7C"/>
    <w:rsid w:val="0067329D"/>
    <w:rsid w:val="00676D02"/>
    <w:rsid w:val="00677595"/>
    <w:rsid w:val="00677C77"/>
    <w:rsid w:val="00681BFF"/>
    <w:rsid w:val="00683115"/>
    <w:rsid w:val="00684CED"/>
    <w:rsid w:val="00687B83"/>
    <w:rsid w:val="00692783"/>
    <w:rsid w:val="00692FFD"/>
    <w:rsid w:val="00693710"/>
    <w:rsid w:val="006964AC"/>
    <w:rsid w:val="006969A4"/>
    <w:rsid w:val="006A109B"/>
    <w:rsid w:val="006A18CC"/>
    <w:rsid w:val="006A22D9"/>
    <w:rsid w:val="006A22DB"/>
    <w:rsid w:val="006A2407"/>
    <w:rsid w:val="006A675F"/>
    <w:rsid w:val="006A6C3A"/>
    <w:rsid w:val="006B1E25"/>
    <w:rsid w:val="006B30F1"/>
    <w:rsid w:val="006B4D77"/>
    <w:rsid w:val="006B5DBB"/>
    <w:rsid w:val="006B61A0"/>
    <w:rsid w:val="006B6A62"/>
    <w:rsid w:val="006B6CA2"/>
    <w:rsid w:val="006C078E"/>
    <w:rsid w:val="006C1BDB"/>
    <w:rsid w:val="006C1FBC"/>
    <w:rsid w:val="006C396B"/>
    <w:rsid w:val="006C3E34"/>
    <w:rsid w:val="006C4E4A"/>
    <w:rsid w:val="006C7E80"/>
    <w:rsid w:val="006D0AA5"/>
    <w:rsid w:val="006D16D6"/>
    <w:rsid w:val="006D17ED"/>
    <w:rsid w:val="006D196F"/>
    <w:rsid w:val="006D1B85"/>
    <w:rsid w:val="006D1E2F"/>
    <w:rsid w:val="006D3E31"/>
    <w:rsid w:val="006D3EA1"/>
    <w:rsid w:val="006D678D"/>
    <w:rsid w:val="006D6B8A"/>
    <w:rsid w:val="006D7325"/>
    <w:rsid w:val="006D7FBA"/>
    <w:rsid w:val="006E0526"/>
    <w:rsid w:val="006E10BA"/>
    <w:rsid w:val="006E21D2"/>
    <w:rsid w:val="006E25B4"/>
    <w:rsid w:val="006E3D3D"/>
    <w:rsid w:val="006E6ED6"/>
    <w:rsid w:val="00700219"/>
    <w:rsid w:val="00701B13"/>
    <w:rsid w:val="00703F2F"/>
    <w:rsid w:val="00705CE7"/>
    <w:rsid w:val="00705D9D"/>
    <w:rsid w:val="00706E45"/>
    <w:rsid w:val="00707F4A"/>
    <w:rsid w:val="00713385"/>
    <w:rsid w:val="007138CC"/>
    <w:rsid w:val="007179B1"/>
    <w:rsid w:val="007247C4"/>
    <w:rsid w:val="00724C04"/>
    <w:rsid w:val="007255E2"/>
    <w:rsid w:val="0073198F"/>
    <w:rsid w:val="0073348B"/>
    <w:rsid w:val="00733A6E"/>
    <w:rsid w:val="007359EF"/>
    <w:rsid w:val="00735B9D"/>
    <w:rsid w:val="0073632E"/>
    <w:rsid w:val="00737718"/>
    <w:rsid w:val="00741553"/>
    <w:rsid w:val="00743F14"/>
    <w:rsid w:val="00746564"/>
    <w:rsid w:val="00747229"/>
    <w:rsid w:val="00747269"/>
    <w:rsid w:val="00747A67"/>
    <w:rsid w:val="007525B5"/>
    <w:rsid w:val="0075275E"/>
    <w:rsid w:val="00752934"/>
    <w:rsid w:val="00752A28"/>
    <w:rsid w:val="00754CD1"/>
    <w:rsid w:val="0075696D"/>
    <w:rsid w:val="00760C37"/>
    <w:rsid w:val="0076248A"/>
    <w:rsid w:val="00764854"/>
    <w:rsid w:val="00764FDF"/>
    <w:rsid w:val="00765D22"/>
    <w:rsid w:val="00771226"/>
    <w:rsid w:val="007734FE"/>
    <w:rsid w:val="00774963"/>
    <w:rsid w:val="00774BFD"/>
    <w:rsid w:val="007764A6"/>
    <w:rsid w:val="00776E79"/>
    <w:rsid w:val="00777AD8"/>
    <w:rsid w:val="007800FA"/>
    <w:rsid w:val="00781BF5"/>
    <w:rsid w:val="00781EDC"/>
    <w:rsid w:val="00782431"/>
    <w:rsid w:val="00790247"/>
    <w:rsid w:val="0079169D"/>
    <w:rsid w:val="00791A9A"/>
    <w:rsid w:val="00792717"/>
    <w:rsid w:val="00792E7A"/>
    <w:rsid w:val="00795EDA"/>
    <w:rsid w:val="00797EBA"/>
    <w:rsid w:val="007A20A4"/>
    <w:rsid w:val="007A2B37"/>
    <w:rsid w:val="007A44B7"/>
    <w:rsid w:val="007A6461"/>
    <w:rsid w:val="007A7004"/>
    <w:rsid w:val="007B0058"/>
    <w:rsid w:val="007B01FD"/>
    <w:rsid w:val="007B07EE"/>
    <w:rsid w:val="007B38FA"/>
    <w:rsid w:val="007B41D4"/>
    <w:rsid w:val="007B48BE"/>
    <w:rsid w:val="007B5587"/>
    <w:rsid w:val="007B5DBA"/>
    <w:rsid w:val="007B797E"/>
    <w:rsid w:val="007B7F26"/>
    <w:rsid w:val="007C2978"/>
    <w:rsid w:val="007C2F40"/>
    <w:rsid w:val="007C578D"/>
    <w:rsid w:val="007D2A50"/>
    <w:rsid w:val="007D3BBE"/>
    <w:rsid w:val="007E27B6"/>
    <w:rsid w:val="007E3674"/>
    <w:rsid w:val="007E75A9"/>
    <w:rsid w:val="007F3665"/>
    <w:rsid w:val="007F37B8"/>
    <w:rsid w:val="007F6452"/>
    <w:rsid w:val="008025EA"/>
    <w:rsid w:val="008031CF"/>
    <w:rsid w:val="00803C84"/>
    <w:rsid w:val="00804A7F"/>
    <w:rsid w:val="0080519F"/>
    <w:rsid w:val="0080567F"/>
    <w:rsid w:val="00805908"/>
    <w:rsid w:val="00811F9F"/>
    <w:rsid w:val="00813556"/>
    <w:rsid w:val="00813FE8"/>
    <w:rsid w:val="008164BD"/>
    <w:rsid w:val="0081748C"/>
    <w:rsid w:val="00817656"/>
    <w:rsid w:val="008179F1"/>
    <w:rsid w:val="008216DE"/>
    <w:rsid w:val="00821A5E"/>
    <w:rsid w:val="00821DBC"/>
    <w:rsid w:val="008231A1"/>
    <w:rsid w:val="00823606"/>
    <w:rsid w:val="00823E4C"/>
    <w:rsid w:val="00825BB3"/>
    <w:rsid w:val="0082737D"/>
    <w:rsid w:val="00827BB9"/>
    <w:rsid w:val="00834277"/>
    <w:rsid w:val="008350EC"/>
    <w:rsid w:val="00835AEE"/>
    <w:rsid w:val="00835EC3"/>
    <w:rsid w:val="0083638D"/>
    <w:rsid w:val="00836CF0"/>
    <w:rsid w:val="00837A06"/>
    <w:rsid w:val="00841563"/>
    <w:rsid w:val="00843618"/>
    <w:rsid w:val="00844106"/>
    <w:rsid w:val="0084468D"/>
    <w:rsid w:val="00844827"/>
    <w:rsid w:val="00844EBF"/>
    <w:rsid w:val="00845F78"/>
    <w:rsid w:val="00847B06"/>
    <w:rsid w:val="008500C3"/>
    <w:rsid w:val="008534B3"/>
    <w:rsid w:val="00855B0C"/>
    <w:rsid w:val="00861224"/>
    <w:rsid w:val="008655DF"/>
    <w:rsid w:val="00871589"/>
    <w:rsid w:val="00872999"/>
    <w:rsid w:val="00872A75"/>
    <w:rsid w:val="00872E2A"/>
    <w:rsid w:val="00874623"/>
    <w:rsid w:val="0088031B"/>
    <w:rsid w:val="00881191"/>
    <w:rsid w:val="008815D8"/>
    <w:rsid w:val="008817FD"/>
    <w:rsid w:val="0088206C"/>
    <w:rsid w:val="00882C3E"/>
    <w:rsid w:val="008853EA"/>
    <w:rsid w:val="0088685D"/>
    <w:rsid w:val="008908EC"/>
    <w:rsid w:val="008924A6"/>
    <w:rsid w:val="008953EF"/>
    <w:rsid w:val="008A0356"/>
    <w:rsid w:val="008A14BA"/>
    <w:rsid w:val="008A266B"/>
    <w:rsid w:val="008A32FC"/>
    <w:rsid w:val="008A3903"/>
    <w:rsid w:val="008A40E2"/>
    <w:rsid w:val="008A656A"/>
    <w:rsid w:val="008B162D"/>
    <w:rsid w:val="008B1A11"/>
    <w:rsid w:val="008B1FF2"/>
    <w:rsid w:val="008B2349"/>
    <w:rsid w:val="008B240E"/>
    <w:rsid w:val="008B4160"/>
    <w:rsid w:val="008B43D7"/>
    <w:rsid w:val="008B6283"/>
    <w:rsid w:val="008C01B1"/>
    <w:rsid w:val="008C0711"/>
    <w:rsid w:val="008C124D"/>
    <w:rsid w:val="008C1486"/>
    <w:rsid w:val="008C2AC1"/>
    <w:rsid w:val="008C363E"/>
    <w:rsid w:val="008C6BEC"/>
    <w:rsid w:val="008D0E5D"/>
    <w:rsid w:val="008D117D"/>
    <w:rsid w:val="008D4B0B"/>
    <w:rsid w:val="008E03C8"/>
    <w:rsid w:val="008E4693"/>
    <w:rsid w:val="008E476F"/>
    <w:rsid w:val="008E69A0"/>
    <w:rsid w:val="008F0076"/>
    <w:rsid w:val="008F5D2A"/>
    <w:rsid w:val="008F63F9"/>
    <w:rsid w:val="0090049C"/>
    <w:rsid w:val="00900EC0"/>
    <w:rsid w:val="00904C5A"/>
    <w:rsid w:val="00905FC4"/>
    <w:rsid w:val="0091064D"/>
    <w:rsid w:val="00911DF7"/>
    <w:rsid w:val="00912740"/>
    <w:rsid w:val="00915546"/>
    <w:rsid w:val="0091632D"/>
    <w:rsid w:val="009215C5"/>
    <w:rsid w:val="009235A3"/>
    <w:rsid w:val="0092431B"/>
    <w:rsid w:val="00924403"/>
    <w:rsid w:val="00926441"/>
    <w:rsid w:val="00926D6F"/>
    <w:rsid w:val="00930549"/>
    <w:rsid w:val="009337C3"/>
    <w:rsid w:val="00933F35"/>
    <w:rsid w:val="00935E50"/>
    <w:rsid w:val="00936499"/>
    <w:rsid w:val="0093692A"/>
    <w:rsid w:val="00936B5B"/>
    <w:rsid w:val="00936B8D"/>
    <w:rsid w:val="00940675"/>
    <w:rsid w:val="00940A23"/>
    <w:rsid w:val="00940E59"/>
    <w:rsid w:val="009449F2"/>
    <w:rsid w:val="00945ACF"/>
    <w:rsid w:val="00946CE0"/>
    <w:rsid w:val="00953205"/>
    <w:rsid w:val="00953A4A"/>
    <w:rsid w:val="00953FFC"/>
    <w:rsid w:val="00955C4A"/>
    <w:rsid w:val="009603B6"/>
    <w:rsid w:val="00961E26"/>
    <w:rsid w:val="00962C0C"/>
    <w:rsid w:val="0096365C"/>
    <w:rsid w:val="00963843"/>
    <w:rsid w:val="00963EE5"/>
    <w:rsid w:val="00964910"/>
    <w:rsid w:val="00964E0F"/>
    <w:rsid w:val="0097328B"/>
    <w:rsid w:val="0097385A"/>
    <w:rsid w:val="0097530F"/>
    <w:rsid w:val="00975F58"/>
    <w:rsid w:val="00977E1F"/>
    <w:rsid w:val="0098245A"/>
    <w:rsid w:val="009836E0"/>
    <w:rsid w:val="00984333"/>
    <w:rsid w:val="009863E2"/>
    <w:rsid w:val="0099190D"/>
    <w:rsid w:val="00991F13"/>
    <w:rsid w:val="00992BE9"/>
    <w:rsid w:val="00993420"/>
    <w:rsid w:val="0099619A"/>
    <w:rsid w:val="009A03FC"/>
    <w:rsid w:val="009A1390"/>
    <w:rsid w:val="009A15A1"/>
    <w:rsid w:val="009A436A"/>
    <w:rsid w:val="009A44F6"/>
    <w:rsid w:val="009A711E"/>
    <w:rsid w:val="009A764D"/>
    <w:rsid w:val="009B2C22"/>
    <w:rsid w:val="009B5465"/>
    <w:rsid w:val="009B5C71"/>
    <w:rsid w:val="009B660E"/>
    <w:rsid w:val="009B6E61"/>
    <w:rsid w:val="009C0D14"/>
    <w:rsid w:val="009C1C36"/>
    <w:rsid w:val="009C5224"/>
    <w:rsid w:val="009C5B6D"/>
    <w:rsid w:val="009C76D3"/>
    <w:rsid w:val="009D0D5A"/>
    <w:rsid w:val="009D186B"/>
    <w:rsid w:val="009D276A"/>
    <w:rsid w:val="009D2E12"/>
    <w:rsid w:val="009D2FEB"/>
    <w:rsid w:val="009D3DD8"/>
    <w:rsid w:val="009E0A27"/>
    <w:rsid w:val="009E3E99"/>
    <w:rsid w:val="009E48C0"/>
    <w:rsid w:val="009E6C10"/>
    <w:rsid w:val="009E74D0"/>
    <w:rsid w:val="009E7511"/>
    <w:rsid w:val="009F196F"/>
    <w:rsid w:val="00A000C9"/>
    <w:rsid w:val="00A0084D"/>
    <w:rsid w:val="00A01C04"/>
    <w:rsid w:val="00A02558"/>
    <w:rsid w:val="00A02750"/>
    <w:rsid w:val="00A03DCF"/>
    <w:rsid w:val="00A03E9E"/>
    <w:rsid w:val="00A04133"/>
    <w:rsid w:val="00A06E8F"/>
    <w:rsid w:val="00A07DB2"/>
    <w:rsid w:val="00A1006C"/>
    <w:rsid w:val="00A106EB"/>
    <w:rsid w:val="00A11542"/>
    <w:rsid w:val="00A15367"/>
    <w:rsid w:val="00A1622B"/>
    <w:rsid w:val="00A17A68"/>
    <w:rsid w:val="00A17AA2"/>
    <w:rsid w:val="00A22252"/>
    <w:rsid w:val="00A22421"/>
    <w:rsid w:val="00A2426D"/>
    <w:rsid w:val="00A24798"/>
    <w:rsid w:val="00A259F0"/>
    <w:rsid w:val="00A274D6"/>
    <w:rsid w:val="00A33BE6"/>
    <w:rsid w:val="00A348C6"/>
    <w:rsid w:val="00A36666"/>
    <w:rsid w:val="00A37AEB"/>
    <w:rsid w:val="00A40243"/>
    <w:rsid w:val="00A43479"/>
    <w:rsid w:val="00A51D45"/>
    <w:rsid w:val="00A52BAD"/>
    <w:rsid w:val="00A53A9B"/>
    <w:rsid w:val="00A54CA3"/>
    <w:rsid w:val="00A55D13"/>
    <w:rsid w:val="00A561B9"/>
    <w:rsid w:val="00A56B4C"/>
    <w:rsid w:val="00A60BF5"/>
    <w:rsid w:val="00A6172D"/>
    <w:rsid w:val="00A62185"/>
    <w:rsid w:val="00A6220D"/>
    <w:rsid w:val="00A646A4"/>
    <w:rsid w:val="00A64767"/>
    <w:rsid w:val="00A6515A"/>
    <w:rsid w:val="00A66AEF"/>
    <w:rsid w:val="00A675E0"/>
    <w:rsid w:val="00A708E0"/>
    <w:rsid w:val="00A71C3A"/>
    <w:rsid w:val="00A72318"/>
    <w:rsid w:val="00A72339"/>
    <w:rsid w:val="00A72ADB"/>
    <w:rsid w:val="00A72ED2"/>
    <w:rsid w:val="00A751AC"/>
    <w:rsid w:val="00A75825"/>
    <w:rsid w:val="00A7586B"/>
    <w:rsid w:val="00A8155B"/>
    <w:rsid w:val="00A823B7"/>
    <w:rsid w:val="00A826FA"/>
    <w:rsid w:val="00A82918"/>
    <w:rsid w:val="00A82F99"/>
    <w:rsid w:val="00A86842"/>
    <w:rsid w:val="00A87DDB"/>
    <w:rsid w:val="00A90917"/>
    <w:rsid w:val="00A911A1"/>
    <w:rsid w:val="00A914C6"/>
    <w:rsid w:val="00A92029"/>
    <w:rsid w:val="00A92A83"/>
    <w:rsid w:val="00A9390F"/>
    <w:rsid w:val="00A955E9"/>
    <w:rsid w:val="00A9629F"/>
    <w:rsid w:val="00A966CC"/>
    <w:rsid w:val="00A970B2"/>
    <w:rsid w:val="00A977F7"/>
    <w:rsid w:val="00AA0C89"/>
    <w:rsid w:val="00AA0D55"/>
    <w:rsid w:val="00AA3DBA"/>
    <w:rsid w:val="00AA602D"/>
    <w:rsid w:val="00AA68E0"/>
    <w:rsid w:val="00AB55B7"/>
    <w:rsid w:val="00AB6287"/>
    <w:rsid w:val="00AB6718"/>
    <w:rsid w:val="00AB7AD9"/>
    <w:rsid w:val="00AC204A"/>
    <w:rsid w:val="00AC458C"/>
    <w:rsid w:val="00AC47E2"/>
    <w:rsid w:val="00AC7399"/>
    <w:rsid w:val="00AD26AE"/>
    <w:rsid w:val="00AD2B1F"/>
    <w:rsid w:val="00AD5E2C"/>
    <w:rsid w:val="00AD6B68"/>
    <w:rsid w:val="00AD7C9F"/>
    <w:rsid w:val="00AE0A13"/>
    <w:rsid w:val="00AE1FF0"/>
    <w:rsid w:val="00AE4AAD"/>
    <w:rsid w:val="00AE5D55"/>
    <w:rsid w:val="00AF0B1B"/>
    <w:rsid w:val="00AF1BC5"/>
    <w:rsid w:val="00AF79B7"/>
    <w:rsid w:val="00B0013E"/>
    <w:rsid w:val="00B03E7C"/>
    <w:rsid w:val="00B04A18"/>
    <w:rsid w:val="00B05670"/>
    <w:rsid w:val="00B05975"/>
    <w:rsid w:val="00B119F3"/>
    <w:rsid w:val="00B12803"/>
    <w:rsid w:val="00B143CB"/>
    <w:rsid w:val="00B14C37"/>
    <w:rsid w:val="00B16E0C"/>
    <w:rsid w:val="00B20446"/>
    <w:rsid w:val="00B26312"/>
    <w:rsid w:val="00B27152"/>
    <w:rsid w:val="00B30351"/>
    <w:rsid w:val="00B322E0"/>
    <w:rsid w:val="00B33FDF"/>
    <w:rsid w:val="00B35044"/>
    <w:rsid w:val="00B358F4"/>
    <w:rsid w:val="00B3592B"/>
    <w:rsid w:val="00B45045"/>
    <w:rsid w:val="00B4528D"/>
    <w:rsid w:val="00B45DBC"/>
    <w:rsid w:val="00B46FDC"/>
    <w:rsid w:val="00B51822"/>
    <w:rsid w:val="00B530F9"/>
    <w:rsid w:val="00B5650D"/>
    <w:rsid w:val="00B56C85"/>
    <w:rsid w:val="00B62577"/>
    <w:rsid w:val="00B63D7E"/>
    <w:rsid w:val="00B64941"/>
    <w:rsid w:val="00B65794"/>
    <w:rsid w:val="00B65D22"/>
    <w:rsid w:val="00B65E17"/>
    <w:rsid w:val="00B678D3"/>
    <w:rsid w:val="00B67BE0"/>
    <w:rsid w:val="00B70BBF"/>
    <w:rsid w:val="00B7191E"/>
    <w:rsid w:val="00B7297D"/>
    <w:rsid w:val="00B745E7"/>
    <w:rsid w:val="00B7521C"/>
    <w:rsid w:val="00B75320"/>
    <w:rsid w:val="00B75424"/>
    <w:rsid w:val="00B7647B"/>
    <w:rsid w:val="00B77C70"/>
    <w:rsid w:val="00B8235A"/>
    <w:rsid w:val="00B83A40"/>
    <w:rsid w:val="00B83FB2"/>
    <w:rsid w:val="00B84890"/>
    <w:rsid w:val="00B85640"/>
    <w:rsid w:val="00B922B5"/>
    <w:rsid w:val="00B957C3"/>
    <w:rsid w:val="00B97168"/>
    <w:rsid w:val="00BA0288"/>
    <w:rsid w:val="00BA1161"/>
    <w:rsid w:val="00BA2B32"/>
    <w:rsid w:val="00BA2DAE"/>
    <w:rsid w:val="00BA3A7F"/>
    <w:rsid w:val="00BA6BC6"/>
    <w:rsid w:val="00BB0635"/>
    <w:rsid w:val="00BB0BF4"/>
    <w:rsid w:val="00BB1888"/>
    <w:rsid w:val="00BB1939"/>
    <w:rsid w:val="00BB2C22"/>
    <w:rsid w:val="00BB2CD9"/>
    <w:rsid w:val="00BB39CB"/>
    <w:rsid w:val="00BB3BB4"/>
    <w:rsid w:val="00BB46D6"/>
    <w:rsid w:val="00BB4DDD"/>
    <w:rsid w:val="00BB7E95"/>
    <w:rsid w:val="00BC2AA5"/>
    <w:rsid w:val="00BC2E5C"/>
    <w:rsid w:val="00BC32AD"/>
    <w:rsid w:val="00BC6405"/>
    <w:rsid w:val="00BD297E"/>
    <w:rsid w:val="00BD4F36"/>
    <w:rsid w:val="00BD5E4F"/>
    <w:rsid w:val="00BD62BE"/>
    <w:rsid w:val="00BD7D80"/>
    <w:rsid w:val="00BE015B"/>
    <w:rsid w:val="00BF0554"/>
    <w:rsid w:val="00BF19BB"/>
    <w:rsid w:val="00BF1A77"/>
    <w:rsid w:val="00BF2635"/>
    <w:rsid w:val="00BF318E"/>
    <w:rsid w:val="00BF3939"/>
    <w:rsid w:val="00BF3B96"/>
    <w:rsid w:val="00BF68F4"/>
    <w:rsid w:val="00C00D17"/>
    <w:rsid w:val="00C026BA"/>
    <w:rsid w:val="00C05DF6"/>
    <w:rsid w:val="00C07FCB"/>
    <w:rsid w:val="00C11EAD"/>
    <w:rsid w:val="00C146CA"/>
    <w:rsid w:val="00C168AA"/>
    <w:rsid w:val="00C17389"/>
    <w:rsid w:val="00C21EEB"/>
    <w:rsid w:val="00C22BE3"/>
    <w:rsid w:val="00C22D20"/>
    <w:rsid w:val="00C25D47"/>
    <w:rsid w:val="00C260F7"/>
    <w:rsid w:val="00C26828"/>
    <w:rsid w:val="00C26A6E"/>
    <w:rsid w:val="00C273D3"/>
    <w:rsid w:val="00C30C27"/>
    <w:rsid w:val="00C350F3"/>
    <w:rsid w:val="00C35538"/>
    <w:rsid w:val="00C3564D"/>
    <w:rsid w:val="00C35CE6"/>
    <w:rsid w:val="00C41133"/>
    <w:rsid w:val="00C41B4C"/>
    <w:rsid w:val="00C42D86"/>
    <w:rsid w:val="00C44096"/>
    <w:rsid w:val="00C4459F"/>
    <w:rsid w:val="00C47B34"/>
    <w:rsid w:val="00C47B87"/>
    <w:rsid w:val="00C47DDA"/>
    <w:rsid w:val="00C5002A"/>
    <w:rsid w:val="00C50295"/>
    <w:rsid w:val="00C54C29"/>
    <w:rsid w:val="00C60555"/>
    <w:rsid w:val="00C62B59"/>
    <w:rsid w:val="00C62C38"/>
    <w:rsid w:val="00C62E48"/>
    <w:rsid w:val="00C72B3B"/>
    <w:rsid w:val="00C72DD1"/>
    <w:rsid w:val="00C72F62"/>
    <w:rsid w:val="00C73D01"/>
    <w:rsid w:val="00C75C0F"/>
    <w:rsid w:val="00C76814"/>
    <w:rsid w:val="00C8064C"/>
    <w:rsid w:val="00C807BF"/>
    <w:rsid w:val="00C83BC1"/>
    <w:rsid w:val="00C8680F"/>
    <w:rsid w:val="00C87FC1"/>
    <w:rsid w:val="00C90BB4"/>
    <w:rsid w:val="00C91255"/>
    <w:rsid w:val="00C91B22"/>
    <w:rsid w:val="00C9242F"/>
    <w:rsid w:val="00C92610"/>
    <w:rsid w:val="00C93EB1"/>
    <w:rsid w:val="00C954ED"/>
    <w:rsid w:val="00CA036F"/>
    <w:rsid w:val="00CA0C54"/>
    <w:rsid w:val="00CA3D67"/>
    <w:rsid w:val="00CA4409"/>
    <w:rsid w:val="00CA7331"/>
    <w:rsid w:val="00CB0D92"/>
    <w:rsid w:val="00CB193B"/>
    <w:rsid w:val="00CB5840"/>
    <w:rsid w:val="00CB631B"/>
    <w:rsid w:val="00CB764E"/>
    <w:rsid w:val="00CB77E1"/>
    <w:rsid w:val="00CC0717"/>
    <w:rsid w:val="00CC4109"/>
    <w:rsid w:val="00CC50BA"/>
    <w:rsid w:val="00CC5FA0"/>
    <w:rsid w:val="00CC69CE"/>
    <w:rsid w:val="00CC7CC8"/>
    <w:rsid w:val="00CD2671"/>
    <w:rsid w:val="00CD6243"/>
    <w:rsid w:val="00CE0A23"/>
    <w:rsid w:val="00CE1583"/>
    <w:rsid w:val="00CE31BD"/>
    <w:rsid w:val="00CE4625"/>
    <w:rsid w:val="00CE4736"/>
    <w:rsid w:val="00CE4C78"/>
    <w:rsid w:val="00CE5A8B"/>
    <w:rsid w:val="00CE78DB"/>
    <w:rsid w:val="00CF091E"/>
    <w:rsid w:val="00CF2356"/>
    <w:rsid w:val="00CF2993"/>
    <w:rsid w:val="00CF34F7"/>
    <w:rsid w:val="00CF3B1B"/>
    <w:rsid w:val="00CF59E8"/>
    <w:rsid w:val="00D02F96"/>
    <w:rsid w:val="00D056D1"/>
    <w:rsid w:val="00D07763"/>
    <w:rsid w:val="00D07B0F"/>
    <w:rsid w:val="00D07F65"/>
    <w:rsid w:val="00D11E73"/>
    <w:rsid w:val="00D129AC"/>
    <w:rsid w:val="00D13DBD"/>
    <w:rsid w:val="00D13F25"/>
    <w:rsid w:val="00D148CF"/>
    <w:rsid w:val="00D14B7A"/>
    <w:rsid w:val="00D16306"/>
    <w:rsid w:val="00D16655"/>
    <w:rsid w:val="00D177DA"/>
    <w:rsid w:val="00D17BB7"/>
    <w:rsid w:val="00D20D39"/>
    <w:rsid w:val="00D21663"/>
    <w:rsid w:val="00D224BB"/>
    <w:rsid w:val="00D22BEA"/>
    <w:rsid w:val="00D232C3"/>
    <w:rsid w:val="00D2386F"/>
    <w:rsid w:val="00D24CEB"/>
    <w:rsid w:val="00D257F2"/>
    <w:rsid w:val="00D30315"/>
    <w:rsid w:val="00D30C6D"/>
    <w:rsid w:val="00D30EEF"/>
    <w:rsid w:val="00D31C0D"/>
    <w:rsid w:val="00D33610"/>
    <w:rsid w:val="00D362A4"/>
    <w:rsid w:val="00D36A5D"/>
    <w:rsid w:val="00D36F19"/>
    <w:rsid w:val="00D37318"/>
    <w:rsid w:val="00D37E36"/>
    <w:rsid w:val="00D41295"/>
    <w:rsid w:val="00D42C60"/>
    <w:rsid w:val="00D449A0"/>
    <w:rsid w:val="00D45F60"/>
    <w:rsid w:val="00D50C7C"/>
    <w:rsid w:val="00D51138"/>
    <w:rsid w:val="00D51428"/>
    <w:rsid w:val="00D54717"/>
    <w:rsid w:val="00D55527"/>
    <w:rsid w:val="00D555BE"/>
    <w:rsid w:val="00D567E0"/>
    <w:rsid w:val="00D60094"/>
    <w:rsid w:val="00D60FEA"/>
    <w:rsid w:val="00D62EAB"/>
    <w:rsid w:val="00D64229"/>
    <w:rsid w:val="00D65A4E"/>
    <w:rsid w:val="00D66C69"/>
    <w:rsid w:val="00D670BF"/>
    <w:rsid w:val="00D6733D"/>
    <w:rsid w:val="00D67387"/>
    <w:rsid w:val="00D678CF"/>
    <w:rsid w:val="00D70929"/>
    <w:rsid w:val="00D711C3"/>
    <w:rsid w:val="00D7203D"/>
    <w:rsid w:val="00D725D0"/>
    <w:rsid w:val="00D72E43"/>
    <w:rsid w:val="00D732B3"/>
    <w:rsid w:val="00D73924"/>
    <w:rsid w:val="00D73CE0"/>
    <w:rsid w:val="00D74DDC"/>
    <w:rsid w:val="00D7659C"/>
    <w:rsid w:val="00D77B26"/>
    <w:rsid w:val="00D77D3F"/>
    <w:rsid w:val="00D813C0"/>
    <w:rsid w:val="00D815BE"/>
    <w:rsid w:val="00D82A13"/>
    <w:rsid w:val="00D82A50"/>
    <w:rsid w:val="00D8380E"/>
    <w:rsid w:val="00D83C54"/>
    <w:rsid w:val="00D840D1"/>
    <w:rsid w:val="00D84274"/>
    <w:rsid w:val="00D842BD"/>
    <w:rsid w:val="00D86E84"/>
    <w:rsid w:val="00D91B9D"/>
    <w:rsid w:val="00D93D50"/>
    <w:rsid w:val="00D9799D"/>
    <w:rsid w:val="00DA10B1"/>
    <w:rsid w:val="00DB09E8"/>
    <w:rsid w:val="00DB3C17"/>
    <w:rsid w:val="00DB4BBE"/>
    <w:rsid w:val="00DB73E7"/>
    <w:rsid w:val="00DB7F12"/>
    <w:rsid w:val="00DC1A42"/>
    <w:rsid w:val="00DC5CC0"/>
    <w:rsid w:val="00DC6348"/>
    <w:rsid w:val="00DD164A"/>
    <w:rsid w:val="00DD2A94"/>
    <w:rsid w:val="00DD4E79"/>
    <w:rsid w:val="00DE140E"/>
    <w:rsid w:val="00DE5897"/>
    <w:rsid w:val="00DE60CD"/>
    <w:rsid w:val="00DE63AA"/>
    <w:rsid w:val="00DE63E6"/>
    <w:rsid w:val="00DE756C"/>
    <w:rsid w:val="00DE7DD0"/>
    <w:rsid w:val="00DF0561"/>
    <w:rsid w:val="00DF1693"/>
    <w:rsid w:val="00E0064F"/>
    <w:rsid w:val="00E00BBA"/>
    <w:rsid w:val="00E02471"/>
    <w:rsid w:val="00E027DB"/>
    <w:rsid w:val="00E02CF7"/>
    <w:rsid w:val="00E03B88"/>
    <w:rsid w:val="00E04F8B"/>
    <w:rsid w:val="00E06C1D"/>
    <w:rsid w:val="00E06C70"/>
    <w:rsid w:val="00E070B3"/>
    <w:rsid w:val="00E079C1"/>
    <w:rsid w:val="00E108CF"/>
    <w:rsid w:val="00E11BD5"/>
    <w:rsid w:val="00E159EA"/>
    <w:rsid w:val="00E16DF6"/>
    <w:rsid w:val="00E16E63"/>
    <w:rsid w:val="00E20F71"/>
    <w:rsid w:val="00E23496"/>
    <w:rsid w:val="00E24306"/>
    <w:rsid w:val="00E31A7B"/>
    <w:rsid w:val="00E3249D"/>
    <w:rsid w:val="00E32577"/>
    <w:rsid w:val="00E3579A"/>
    <w:rsid w:val="00E3765D"/>
    <w:rsid w:val="00E4126B"/>
    <w:rsid w:val="00E44A8E"/>
    <w:rsid w:val="00E505BB"/>
    <w:rsid w:val="00E560E0"/>
    <w:rsid w:val="00E5784F"/>
    <w:rsid w:val="00E605F1"/>
    <w:rsid w:val="00E62588"/>
    <w:rsid w:val="00E66C31"/>
    <w:rsid w:val="00E67266"/>
    <w:rsid w:val="00E673E3"/>
    <w:rsid w:val="00E6781E"/>
    <w:rsid w:val="00E70FAF"/>
    <w:rsid w:val="00E712FA"/>
    <w:rsid w:val="00E714D2"/>
    <w:rsid w:val="00E720D0"/>
    <w:rsid w:val="00E75497"/>
    <w:rsid w:val="00E75BE2"/>
    <w:rsid w:val="00E7620C"/>
    <w:rsid w:val="00E77CDB"/>
    <w:rsid w:val="00E853B4"/>
    <w:rsid w:val="00E90582"/>
    <w:rsid w:val="00E94B82"/>
    <w:rsid w:val="00E961E9"/>
    <w:rsid w:val="00E97619"/>
    <w:rsid w:val="00EA2109"/>
    <w:rsid w:val="00EA258D"/>
    <w:rsid w:val="00EA2EA3"/>
    <w:rsid w:val="00EA3F93"/>
    <w:rsid w:val="00EA4933"/>
    <w:rsid w:val="00EA78DB"/>
    <w:rsid w:val="00EB0BA1"/>
    <w:rsid w:val="00EB0E5C"/>
    <w:rsid w:val="00EB1CA2"/>
    <w:rsid w:val="00EB1DFF"/>
    <w:rsid w:val="00EB52EC"/>
    <w:rsid w:val="00EC24AF"/>
    <w:rsid w:val="00EC36A7"/>
    <w:rsid w:val="00EC44CF"/>
    <w:rsid w:val="00EC511C"/>
    <w:rsid w:val="00EC5417"/>
    <w:rsid w:val="00EC583C"/>
    <w:rsid w:val="00EC5F7B"/>
    <w:rsid w:val="00EC71E1"/>
    <w:rsid w:val="00EC7BBF"/>
    <w:rsid w:val="00ED03EF"/>
    <w:rsid w:val="00ED0CF5"/>
    <w:rsid w:val="00ED2088"/>
    <w:rsid w:val="00ED22A1"/>
    <w:rsid w:val="00ED3793"/>
    <w:rsid w:val="00ED7111"/>
    <w:rsid w:val="00EE08BC"/>
    <w:rsid w:val="00EE1051"/>
    <w:rsid w:val="00EE31C1"/>
    <w:rsid w:val="00EE5E2B"/>
    <w:rsid w:val="00EE6B99"/>
    <w:rsid w:val="00EE6FB1"/>
    <w:rsid w:val="00EE712E"/>
    <w:rsid w:val="00EF4D87"/>
    <w:rsid w:val="00EF50D3"/>
    <w:rsid w:val="00EF604E"/>
    <w:rsid w:val="00EF768F"/>
    <w:rsid w:val="00F01808"/>
    <w:rsid w:val="00F02CCB"/>
    <w:rsid w:val="00F043BD"/>
    <w:rsid w:val="00F0519D"/>
    <w:rsid w:val="00F137CE"/>
    <w:rsid w:val="00F17487"/>
    <w:rsid w:val="00F2150F"/>
    <w:rsid w:val="00F2511C"/>
    <w:rsid w:val="00F25511"/>
    <w:rsid w:val="00F264D6"/>
    <w:rsid w:val="00F26F7C"/>
    <w:rsid w:val="00F30B01"/>
    <w:rsid w:val="00F32A8B"/>
    <w:rsid w:val="00F32BBD"/>
    <w:rsid w:val="00F32F69"/>
    <w:rsid w:val="00F33064"/>
    <w:rsid w:val="00F3313F"/>
    <w:rsid w:val="00F331FD"/>
    <w:rsid w:val="00F356B2"/>
    <w:rsid w:val="00F358ED"/>
    <w:rsid w:val="00F4246E"/>
    <w:rsid w:val="00F44B2F"/>
    <w:rsid w:val="00F45811"/>
    <w:rsid w:val="00F466D7"/>
    <w:rsid w:val="00F46A4D"/>
    <w:rsid w:val="00F544B0"/>
    <w:rsid w:val="00F5566F"/>
    <w:rsid w:val="00F579BA"/>
    <w:rsid w:val="00F6028F"/>
    <w:rsid w:val="00F60312"/>
    <w:rsid w:val="00F609BC"/>
    <w:rsid w:val="00F62962"/>
    <w:rsid w:val="00F65ECE"/>
    <w:rsid w:val="00F7242D"/>
    <w:rsid w:val="00F73202"/>
    <w:rsid w:val="00F73D20"/>
    <w:rsid w:val="00F8170A"/>
    <w:rsid w:val="00F8277E"/>
    <w:rsid w:val="00F84CA0"/>
    <w:rsid w:val="00F8507C"/>
    <w:rsid w:val="00F855ED"/>
    <w:rsid w:val="00F87998"/>
    <w:rsid w:val="00F90BF5"/>
    <w:rsid w:val="00F91BC9"/>
    <w:rsid w:val="00F931F2"/>
    <w:rsid w:val="00F939C2"/>
    <w:rsid w:val="00F93C85"/>
    <w:rsid w:val="00F94A03"/>
    <w:rsid w:val="00F95669"/>
    <w:rsid w:val="00FA17F1"/>
    <w:rsid w:val="00FA18E8"/>
    <w:rsid w:val="00FA258A"/>
    <w:rsid w:val="00FA386A"/>
    <w:rsid w:val="00FA5D78"/>
    <w:rsid w:val="00FB0AE8"/>
    <w:rsid w:val="00FB274E"/>
    <w:rsid w:val="00FB2D90"/>
    <w:rsid w:val="00FB3902"/>
    <w:rsid w:val="00FB4AB2"/>
    <w:rsid w:val="00FB5C7D"/>
    <w:rsid w:val="00FB630C"/>
    <w:rsid w:val="00FC076A"/>
    <w:rsid w:val="00FC11E5"/>
    <w:rsid w:val="00FC1839"/>
    <w:rsid w:val="00FC4868"/>
    <w:rsid w:val="00FC548A"/>
    <w:rsid w:val="00FC66C5"/>
    <w:rsid w:val="00FC6F34"/>
    <w:rsid w:val="00FC7565"/>
    <w:rsid w:val="00FC78F7"/>
    <w:rsid w:val="00FD00C8"/>
    <w:rsid w:val="00FD0C4F"/>
    <w:rsid w:val="00FD0F6B"/>
    <w:rsid w:val="00FD134E"/>
    <w:rsid w:val="00FD195F"/>
    <w:rsid w:val="00FD2752"/>
    <w:rsid w:val="00FD2905"/>
    <w:rsid w:val="00FD29CF"/>
    <w:rsid w:val="00FD2C48"/>
    <w:rsid w:val="00FD4FE7"/>
    <w:rsid w:val="00FE0E2F"/>
    <w:rsid w:val="00FE2409"/>
    <w:rsid w:val="00FE40B7"/>
    <w:rsid w:val="00FE5730"/>
    <w:rsid w:val="00FE612C"/>
    <w:rsid w:val="00FF2C7E"/>
    <w:rsid w:val="00FF4E83"/>
    <w:rsid w:val="00FF6B28"/>
    <w:rsid w:val="00FF6BE4"/>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ecimalSymbol w:val="."/>
  <w:listSeparator w:val=","/>
  <w15:docId w15:val="{D6E54FA6-B006-492E-9604-68AF31D8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uiPriority w:val="9"/>
    <w:rsid w:val="002B6147"/>
    <w:pPr>
      <w:keepNext/>
      <w:keepLines/>
      <w:widowControl/>
      <w:autoSpaceDE/>
      <w:autoSpaceDN/>
      <w:adjustRightInd/>
      <w:spacing w:after="120"/>
      <w:jc w:val="center"/>
      <w:outlineLvl w:val="0"/>
    </w:pPr>
    <w:rPr>
      <w:rFonts w:eastAsiaTheme="majorEastAsia" w:cstheme="majorBidi"/>
      <w:bCs/>
      <w:szCs w:val="28"/>
    </w:rPr>
  </w:style>
  <w:style w:type="paragraph" w:styleId="Heading2">
    <w:name w:val="heading 2"/>
    <w:basedOn w:val="Normal"/>
    <w:next w:val="Normal"/>
    <w:link w:val="Heading2Char"/>
    <w:uiPriority w:val="9"/>
    <w:semiHidden/>
    <w:unhideWhenUsed/>
    <w:rsid w:val="002B6147"/>
    <w:pPr>
      <w:keepNext/>
      <w:keepLines/>
      <w:widowControl/>
      <w:autoSpaceDE/>
      <w:autoSpaceDN/>
      <w:adjustRightInd/>
      <w:spacing w:line="360" w:lineRule="auto"/>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2B6147"/>
    <w:pPr>
      <w:keepNext/>
      <w:keepLines/>
      <w:widowControl/>
      <w:autoSpaceDE/>
      <w:autoSpaceDN/>
      <w:adjustRightInd/>
      <w:spacing w:line="360" w:lineRule="auto"/>
      <w:outlineLvl w:val="2"/>
    </w:pPr>
    <w:rPr>
      <w:rFonts w:eastAsiaTheme="majorEastAsia" w:cstheme="majorBidi"/>
      <w:bCs/>
    </w:rPr>
  </w:style>
  <w:style w:type="paragraph" w:styleId="Heading4">
    <w:name w:val="heading 4"/>
    <w:basedOn w:val="Normal"/>
    <w:next w:val="Normal"/>
    <w:link w:val="Heading4Char"/>
    <w:uiPriority w:val="9"/>
    <w:semiHidden/>
    <w:unhideWhenUsed/>
    <w:qFormat/>
    <w:rsid w:val="002B6147"/>
    <w:pPr>
      <w:keepNext/>
      <w:keepLines/>
      <w:widowControl/>
      <w:autoSpaceDE/>
      <w:autoSpaceDN/>
      <w:adjustRightInd/>
      <w:spacing w:line="360" w:lineRule="auto"/>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2B6147"/>
    <w:pPr>
      <w:keepNext/>
      <w:keepLines/>
      <w:widowControl/>
      <w:autoSpaceDE/>
      <w:autoSpaceDN/>
      <w:adjustRightInd/>
      <w:spacing w:line="360" w:lineRule="auto"/>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2B6147"/>
    <w:pPr>
      <w:keepNext/>
      <w:keepLines/>
      <w:widowControl/>
      <w:autoSpaceDE/>
      <w:autoSpaceDN/>
      <w:adjustRightInd/>
      <w:spacing w:line="360" w:lineRule="auto"/>
      <w:outlineLvl w:val="5"/>
    </w:pPr>
    <w:rPr>
      <w:rFonts w:eastAsiaTheme="majorEastAsia" w:cstheme="majorBidi"/>
      <w:iCs/>
    </w:rPr>
  </w:style>
  <w:style w:type="paragraph" w:styleId="Heading7">
    <w:name w:val="heading 7"/>
    <w:basedOn w:val="Normal"/>
    <w:next w:val="Normal"/>
    <w:link w:val="Heading7Char"/>
    <w:uiPriority w:val="9"/>
    <w:semiHidden/>
    <w:unhideWhenUsed/>
    <w:qFormat/>
    <w:rsid w:val="002B6147"/>
    <w:pPr>
      <w:keepNext/>
      <w:keepLines/>
      <w:widowControl/>
      <w:autoSpaceDE/>
      <w:autoSpaceDN/>
      <w:adjustRightInd/>
      <w:spacing w:line="360" w:lineRule="auto"/>
      <w:outlineLvl w:val="6"/>
    </w:pPr>
    <w:rPr>
      <w:rFonts w:eastAsiaTheme="majorEastAsia" w:cstheme="majorBidi"/>
      <w:iCs/>
    </w:rPr>
  </w:style>
  <w:style w:type="paragraph" w:styleId="Heading8">
    <w:name w:val="heading 8"/>
    <w:basedOn w:val="Normal"/>
    <w:next w:val="Normal"/>
    <w:link w:val="Heading8Char"/>
    <w:uiPriority w:val="9"/>
    <w:semiHidden/>
    <w:unhideWhenUsed/>
    <w:qFormat/>
    <w:rsid w:val="002B6147"/>
    <w:pPr>
      <w:keepNext/>
      <w:keepLines/>
      <w:widowControl/>
      <w:autoSpaceDE/>
      <w:autoSpaceDN/>
      <w:adjustRightInd/>
      <w:spacing w:line="360" w:lineRule="auto"/>
      <w:outlineLvl w:val="7"/>
    </w:pPr>
    <w:rPr>
      <w:rFonts w:eastAsiaTheme="majorEastAsia" w:cstheme="majorBid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tyle>
  <w:style w:type="paragraph" w:customStyle="1" w:styleId="Level1">
    <w:name w:val="Level 1"/>
    <w:basedOn w:val="Normal"/>
    <w:pPr>
      <w:ind w:left="1440" w:hanging="720"/>
    </w:pPr>
  </w:style>
  <w:style w:type="paragraph" w:styleId="Header">
    <w:name w:val="header"/>
    <w:basedOn w:val="Normal"/>
    <w:rsid w:val="000971D7"/>
    <w:pPr>
      <w:tabs>
        <w:tab w:val="center" w:pos="4320"/>
        <w:tab w:val="right" w:pos="8640"/>
      </w:tabs>
    </w:pPr>
  </w:style>
  <w:style w:type="paragraph" w:styleId="Footer">
    <w:name w:val="footer"/>
    <w:basedOn w:val="Normal"/>
    <w:rsid w:val="000971D7"/>
    <w:pPr>
      <w:tabs>
        <w:tab w:val="center" w:pos="4320"/>
        <w:tab w:val="right" w:pos="8640"/>
      </w:tabs>
    </w:pPr>
  </w:style>
  <w:style w:type="paragraph" w:styleId="FootnoteText">
    <w:name w:val="footnote text"/>
    <w:aliases w:val="Char2,Char"/>
    <w:basedOn w:val="Normal"/>
    <w:link w:val="FootnoteTextChar"/>
    <w:rsid w:val="004455F1"/>
    <w:rPr>
      <w:sz w:val="20"/>
      <w:szCs w:val="20"/>
    </w:rPr>
  </w:style>
  <w:style w:type="paragraph" w:styleId="BalloonText">
    <w:name w:val="Balloon Text"/>
    <w:basedOn w:val="Normal"/>
    <w:semiHidden/>
    <w:rsid w:val="00DD4E79"/>
    <w:rPr>
      <w:rFonts w:ascii="Tahoma" w:hAnsi="Tahoma" w:cs="Tahoma"/>
      <w:sz w:val="16"/>
      <w:szCs w:val="16"/>
    </w:rPr>
  </w:style>
  <w:style w:type="table" w:styleId="TableGrid">
    <w:name w:val="Table Grid"/>
    <w:basedOn w:val="TableNormal"/>
    <w:rsid w:val="007359E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0723"/>
    <w:rPr>
      <w:color w:val="0000FF"/>
      <w:u w:val="single"/>
    </w:rPr>
  </w:style>
  <w:style w:type="character" w:customStyle="1" w:styleId="FootnoteTextChar">
    <w:name w:val="Footnote Text Char"/>
    <w:aliases w:val="Char2 Char,Char Char"/>
    <w:link w:val="FootnoteText"/>
    <w:rsid w:val="0055031A"/>
  </w:style>
  <w:style w:type="paragraph" w:styleId="ListBullet2">
    <w:name w:val="List Bullet 2"/>
    <w:basedOn w:val="Normal"/>
    <w:uiPriority w:val="99"/>
    <w:unhideWhenUsed/>
    <w:rsid w:val="0055031A"/>
    <w:pPr>
      <w:widowControl/>
      <w:numPr>
        <w:numId w:val="8"/>
      </w:numPr>
      <w:autoSpaceDE/>
      <w:autoSpaceDN/>
      <w:adjustRightInd/>
      <w:contextualSpacing/>
      <w:jc w:val="both"/>
    </w:pPr>
    <w:rPr>
      <w:rFonts w:eastAsia="Calibri"/>
      <w:szCs w:val="20"/>
    </w:rPr>
  </w:style>
  <w:style w:type="paragraph" w:styleId="ListParagraph">
    <w:name w:val="List Paragraph"/>
    <w:basedOn w:val="Normal"/>
    <w:uiPriority w:val="34"/>
    <w:qFormat/>
    <w:rsid w:val="00E6781E"/>
    <w:pPr>
      <w:widowControl/>
      <w:autoSpaceDE/>
      <w:autoSpaceDN/>
      <w:adjustRightInd/>
      <w:ind w:left="720"/>
      <w:contextualSpacing/>
      <w:jc w:val="both"/>
    </w:pPr>
    <w:rPr>
      <w:rFonts w:eastAsia="Calibri"/>
      <w:szCs w:val="20"/>
    </w:rPr>
  </w:style>
  <w:style w:type="paragraph" w:styleId="BodyText">
    <w:name w:val="Body Text"/>
    <w:basedOn w:val="Normal"/>
    <w:link w:val="BodyTextChar"/>
    <w:uiPriority w:val="99"/>
    <w:rsid w:val="00EE712E"/>
    <w:pPr>
      <w:widowControl/>
      <w:spacing w:after="360" w:line="360" w:lineRule="auto"/>
      <w:ind w:firstLine="720"/>
      <w:jc w:val="both"/>
    </w:pPr>
  </w:style>
  <w:style w:type="character" w:customStyle="1" w:styleId="BodyTextChar">
    <w:name w:val="Body Text Char"/>
    <w:basedOn w:val="DefaultParagraphFont"/>
    <w:link w:val="BodyText"/>
    <w:uiPriority w:val="99"/>
    <w:rsid w:val="00EE712E"/>
    <w:rPr>
      <w:sz w:val="24"/>
      <w:szCs w:val="24"/>
    </w:rPr>
  </w:style>
  <w:style w:type="character" w:customStyle="1" w:styleId="Heading1Char">
    <w:name w:val="Heading 1 Char"/>
    <w:basedOn w:val="DefaultParagraphFont"/>
    <w:link w:val="Heading1"/>
    <w:uiPriority w:val="9"/>
    <w:rsid w:val="002B6147"/>
    <w:rPr>
      <w:rFonts w:eastAsiaTheme="majorEastAsia" w:cstheme="majorBidi"/>
      <w:bCs/>
      <w:sz w:val="24"/>
      <w:szCs w:val="28"/>
    </w:rPr>
  </w:style>
  <w:style w:type="paragraph" w:customStyle="1" w:styleId="COLNumbered">
    <w:name w:val="COL Numbered"/>
    <w:basedOn w:val="Normal"/>
    <w:link w:val="COLNumberedChar"/>
    <w:rsid w:val="005E1A1B"/>
    <w:pPr>
      <w:widowControl/>
      <w:numPr>
        <w:ilvl w:val="2"/>
        <w:numId w:val="22"/>
      </w:numPr>
      <w:autoSpaceDE/>
      <w:autoSpaceDN/>
      <w:adjustRightInd/>
      <w:spacing w:before="120" w:line="360" w:lineRule="auto"/>
      <w:jc w:val="both"/>
    </w:pPr>
  </w:style>
  <w:style w:type="paragraph" w:customStyle="1" w:styleId="OrderingNumbered">
    <w:name w:val="Ordering Numbered"/>
    <w:basedOn w:val="Normal"/>
    <w:rsid w:val="005E1A1B"/>
    <w:pPr>
      <w:widowControl/>
      <w:numPr>
        <w:ilvl w:val="3"/>
        <w:numId w:val="22"/>
      </w:numPr>
      <w:autoSpaceDE/>
      <w:autoSpaceDN/>
      <w:adjustRightInd/>
      <w:spacing w:before="120" w:line="360" w:lineRule="auto"/>
      <w:jc w:val="both"/>
    </w:pPr>
  </w:style>
  <w:style w:type="paragraph" w:customStyle="1" w:styleId="FOFNumbered">
    <w:name w:val="FOF Numbered"/>
    <w:basedOn w:val="Normal"/>
    <w:rsid w:val="005E1A1B"/>
    <w:pPr>
      <w:widowControl/>
      <w:numPr>
        <w:numId w:val="24"/>
      </w:numPr>
      <w:tabs>
        <w:tab w:val="clear" w:pos="1530"/>
        <w:tab w:val="num" w:pos="720"/>
      </w:tabs>
      <w:autoSpaceDE/>
      <w:autoSpaceDN/>
      <w:adjustRightInd/>
      <w:spacing w:before="120" w:line="360" w:lineRule="auto"/>
      <w:ind w:left="720"/>
      <w:jc w:val="both"/>
    </w:pPr>
  </w:style>
  <w:style w:type="character" w:styleId="Emphasis">
    <w:name w:val="Emphasis"/>
    <w:qFormat/>
    <w:rsid w:val="005E1A1B"/>
    <w:rPr>
      <w:i/>
      <w:iCs/>
    </w:rPr>
  </w:style>
  <w:style w:type="character" w:styleId="CommentReference">
    <w:name w:val="annotation reference"/>
    <w:basedOn w:val="DefaultParagraphFont"/>
    <w:rsid w:val="00D813C0"/>
    <w:rPr>
      <w:sz w:val="16"/>
      <w:szCs w:val="16"/>
    </w:rPr>
  </w:style>
  <w:style w:type="paragraph" w:styleId="CommentText">
    <w:name w:val="annotation text"/>
    <w:basedOn w:val="Normal"/>
    <w:link w:val="CommentTextChar"/>
    <w:rsid w:val="00D813C0"/>
    <w:rPr>
      <w:sz w:val="20"/>
      <w:szCs w:val="20"/>
    </w:rPr>
  </w:style>
  <w:style w:type="character" w:customStyle="1" w:styleId="CommentTextChar">
    <w:name w:val="Comment Text Char"/>
    <w:basedOn w:val="DefaultParagraphFont"/>
    <w:link w:val="CommentText"/>
    <w:rsid w:val="00D813C0"/>
  </w:style>
  <w:style w:type="paragraph" w:styleId="CommentSubject">
    <w:name w:val="annotation subject"/>
    <w:basedOn w:val="CommentText"/>
    <w:next w:val="CommentText"/>
    <w:link w:val="CommentSubjectChar"/>
    <w:rsid w:val="00D813C0"/>
    <w:rPr>
      <w:b/>
      <w:bCs/>
    </w:rPr>
  </w:style>
  <w:style w:type="character" w:customStyle="1" w:styleId="CommentSubjectChar">
    <w:name w:val="Comment Subject Char"/>
    <w:basedOn w:val="CommentTextChar"/>
    <w:link w:val="CommentSubject"/>
    <w:rsid w:val="00D813C0"/>
    <w:rPr>
      <w:b/>
      <w:bCs/>
    </w:rPr>
  </w:style>
  <w:style w:type="paragraph" w:customStyle="1" w:styleId="left">
    <w:name w:val="left"/>
    <w:basedOn w:val="Normal"/>
    <w:rsid w:val="00847B06"/>
    <w:pPr>
      <w:widowControl/>
      <w:autoSpaceDE/>
      <w:autoSpaceDN/>
      <w:adjustRightInd/>
      <w:spacing w:line="360" w:lineRule="atLeast"/>
    </w:pPr>
    <w:rPr>
      <w:rFonts w:ascii="Courier New" w:hAnsi="Courier New" w:cs="Courier New"/>
    </w:rPr>
  </w:style>
  <w:style w:type="paragraph" w:customStyle="1" w:styleId="Default">
    <w:name w:val="Default"/>
    <w:rsid w:val="00EA2109"/>
    <w:pPr>
      <w:autoSpaceDE w:val="0"/>
      <w:autoSpaceDN w:val="0"/>
      <w:adjustRightInd w:val="0"/>
    </w:pPr>
    <w:rPr>
      <w:rFonts w:ascii="Georgia" w:eastAsiaTheme="minorHAnsi" w:hAnsi="Georgia" w:cs="Georgia"/>
      <w:color w:val="000000"/>
      <w:sz w:val="24"/>
      <w:szCs w:val="24"/>
    </w:rPr>
  </w:style>
  <w:style w:type="paragraph" w:customStyle="1" w:styleId="Penny">
    <w:name w:val="Penny"/>
    <w:basedOn w:val="FOFNumbered"/>
    <w:qFormat/>
    <w:rsid w:val="00790247"/>
    <w:pPr>
      <w:numPr>
        <w:numId w:val="3"/>
      </w:numPr>
      <w:spacing w:before="0" w:line="240" w:lineRule="auto"/>
    </w:pPr>
  </w:style>
  <w:style w:type="paragraph" w:customStyle="1" w:styleId="col">
    <w:name w:val="col"/>
    <w:basedOn w:val="COLNumbered"/>
    <w:link w:val="colChar"/>
    <w:autoRedefine/>
    <w:qFormat/>
    <w:rsid w:val="00AC7399"/>
    <w:pPr>
      <w:numPr>
        <w:ilvl w:val="0"/>
        <w:numId w:val="0"/>
      </w:numPr>
      <w:tabs>
        <w:tab w:val="num" w:pos="720"/>
      </w:tabs>
      <w:spacing w:before="0" w:line="240" w:lineRule="auto"/>
      <w:ind w:left="720"/>
    </w:pPr>
  </w:style>
  <w:style w:type="character" w:customStyle="1" w:styleId="COLNumberedChar">
    <w:name w:val="COL Numbered Char"/>
    <w:basedOn w:val="DefaultParagraphFont"/>
    <w:link w:val="COLNumbered"/>
    <w:rsid w:val="00DC6348"/>
    <w:rPr>
      <w:sz w:val="24"/>
      <w:szCs w:val="24"/>
    </w:rPr>
  </w:style>
  <w:style w:type="character" w:customStyle="1" w:styleId="colChar">
    <w:name w:val="col Char"/>
    <w:basedOn w:val="COLNumberedChar"/>
    <w:link w:val="col"/>
    <w:rsid w:val="00AC7399"/>
    <w:rPr>
      <w:sz w:val="24"/>
      <w:szCs w:val="24"/>
    </w:rPr>
  </w:style>
  <w:style w:type="character" w:customStyle="1" w:styleId="Heading2Char">
    <w:name w:val="Heading 2 Char"/>
    <w:basedOn w:val="DefaultParagraphFont"/>
    <w:link w:val="Heading2"/>
    <w:uiPriority w:val="9"/>
    <w:semiHidden/>
    <w:rsid w:val="002B6147"/>
    <w:rPr>
      <w:rFonts w:eastAsiaTheme="majorEastAsia" w:cstheme="majorBidi"/>
      <w:bCs/>
      <w:sz w:val="24"/>
      <w:szCs w:val="26"/>
    </w:rPr>
  </w:style>
  <w:style w:type="character" w:customStyle="1" w:styleId="Heading3Char">
    <w:name w:val="Heading 3 Char"/>
    <w:basedOn w:val="DefaultParagraphFont"/>
    <w:link w:val="Heading3"/>
    <w:uiPriority w:val="9"/>
    <w:semiHidden/>
    <w:rsid w:val="002B6147"/>
    <w:rPr>
      <w:rFonts w:eastAsiaTheme="majorEastAsia" w:cstheme="majorBidi"/>
      <w:bCs/>
      <w:sz w:val="24"/>
      <w:szCs w:val="24"/>
    </w:rPr>
  </w:style>
  <w:style w:type="character" w:customStyle="1" w:styleId="Heading4Char">
    <w:name w:val="Heading 4 Char"/>
    <w:basedOn w:val="DefaultParagraphFont"/>
    <w:link w:val="Heading4"/>
    <w:uiPriority w:val="9"/>
    <w:semiHidden/>
    <w:rsid w:val="002B6147"/>
    <w:rPr>
      <w:rFonts w:eastAsiaTheme="majorEastAsia" w:cstheme="majorBidi"/>
      <w:bCs/>
      <w:iCs/>
      <w:sz w:val="24"/>
      <w:szCs w:val="24"/>
    </w:rPr>
  </w:style>
  <w:style w:type="character" w:customStyle="1" w:styleId="Heading5Char">
    <w:name w:val="Heading 5 Char"/>
    <w:basedOn w:val="DefaultParagraphFont"/>
    <w:link w:val="Heading5"/>
    <w:uiPriority w:val="9"/>
    <w:semiHidden/>
    <w:rsid w:val="002B6147"/>
    <w:rPr>
      <w:rFonts w:eastAsiaTheme="majorEastAsia" w:cstheme="majorBidi"/>
      <w:sz w:val="24"/>
      <w:szCs w:val="24"/>
    </w:rPr>
  </w:style>
  <w:style w:type="character" w:customStyle="1" w:styleId="Heading6Char">
    <w:name w:val="Heading 6 Char"/>
    <w:basedOn w:val="DefaultParagraphFont"/>
    <w:link w:val="Heading6"/>
    <w:uiPriority w:val="9"/>
    <w:semiHidden/>
    <w:rsid w:val="002B6147"/>
    <w:rPr>
      <w:rFonts w:eastAsiaTheme="majorEastAsia" w:cstheme="majorBidi"/>
      <w:iCs/>
      <w:sz w:val="24"/>
      <w:szCs w:val="24"/>
    </w:rPr>
  </w:style>
  <w:style w:type="character" w:customStyle="1" w:styleId="Heading7Char">
    <w:name w:val="Heading 7 Char"/>
    <w:basedOn w:val="DefaultParagraphFont"/>
    <w:link w:val="Heading7"/>
    <w:uiPriority w:val="9"/>
    <w:semiHidden/>
    <w:rsid w:val="002B6147"/>
    <w:rPr>
      <w:rFonts w:eastAsiaTheme="majorEastAsia" w:cstheme="majorBidi"/>
      <w:iCs/>
      <w:sz w:val="24"/>
      <w:szCs w:val="24"/>
    </w:rPr>
  </w:style>
  <w:style w:type="character" w:customStyle="1" w:styleId="Heading8Char">
    <w:name w:val="Heading 8 Char"/>
    <w:basedOn w:val="DefaultParagraphFont"/>
    <w:link w:val="Heading8"/>
    <w:uiPriority w:val="9"/>
    <w:semiHidden/>
    <w:rsid w:val="002B6147"/>
    <w:rPr>
      <w:rFonts w:eastAsiaTheme="majorEastAsia" w:cstheme="majorBidi"/>
      <w:sz w:val="24"/>
    </w:rPr>
  </w:style>
  <w:style w:type="paragraph" w:styleId="TOC1">
    <w:name w:val="toc 1"/>
    <w:basedOn w:val="Normal"/>
    <w:next w:val="Normal"/>
    <w:autoRedefine/>
    <w:uiPriority w:val="39"/>
    <w:unhideWhenUsed/>
    <w:qFormat/>
    <w:rsid w:val="002B6147"/>
    <w:pPr>
      <w:widowControl/>
      <w:tabs>
        <w:tab w:val="right" w:leader="dot" w:pos="9350"/>
      </w:tabs>
      <w:autoSpaceDE/>
      <w:autoSpaceDN/>
      <w:adjustRightInd/>
      <w:spacing w:after="240"/>
      <w:ind w:left="450" w:hanging="450"/>
    </w:pPr>
    <w:rPr>
      <w:rFonts w:eastAsiaTheme="minorHAnsi" w:cstheme="minorBidi"/>
      <w:b/>
      <w:noProof/>
    </w:rPr>
  </w:style>
  <w:style w:type="paragraph" w:styleId="TOC2">
    <w:name w:val="toc 2"/>
    <w:basedOn w:val="Normal"/>
    <w:next w:val="Normal"/>
    <w:autoRedefine/>
    <w:uiPriority w:val="39"/>
    <w:unhideWhenUsed/>
    <w:qFormat/>
    <w:rsid w:val="002B6147"/>
    <w:pPr>
      <w:widowControl/>
      <w:tabs>
        <w:tab w:val="right" w:leader="dot" w:pos="9350"/>
      </w:tabs>
      <w:autoSpaceDE/>
      <w:autoSpaceDN/>
      <w:adjustRightInd/>
      <w:spacing w:after="240"/>
      <w:ind w:left="1152" w:hanging="720"/>
    </w:pPr>
    <w:rPr>
      <w:rFonts w:eastAsiaTheme="minorHAnsi" w:cstheme="minorBidi"/>
      <w:b/>
      <w:noProof/>
    </w:rPr>
  </w:style>
  <w:style w:type="paragraph" w:styleId="TOC3">
    <w:name w:val="toc 3"/>
    <w:basedOn w:val="Normal"/>
    <w:next w:val="Normal"/>
    <w:autoRedefine/>
    <w:uiPriority w:val="39"/>
    <w:unhideWhenUsed/>
    <w:qFormat/>
    <w:rsid w:val="002B6147"/>
    <w:pPr>
      <w:widowControl/>
      <w:tabs>
        <w:tab w:val="left" w:pos="1980"/>
        <w:tab w:val="right" w:leader="dot" w:pos="9350"/>
      </w:tabs>
      <w:autoSpaceDE/>
      <w:autoSpaceDN/>
      <w:adjustRightInd/>
      <w:spacing w:after="240"/>
      <w:ind w:left="1980" w:hanging="810"/>
      <w:contextualSpacing/>
    </w:pPr>
    <w:rPr>
      <w:rFonts w:eastAsiaTheme="minorHAnsi" w:cstheme="minorBidi"/>
      <w:b/>
    </w:rPr>
  </w:style>
  <w:style w:type="paragraph" w:styleId="TOC4">
    <w:name w:val="toc 4"/>
    <w:basedOn w:val="Normal"/>
    <w:next w:val="Normal"/>
    <w:autoRedefine/>
    <w:uiPriority w:val="39"/>
    <w:unhideWhenUsed/>
    <w:qFormat/>
    <w:rsid w:val="008C0711"/>
    <w:pPr>
      <w:widowControl/>
      <w:tabs>
        <w:tab w:val="right" w:leader="dot" w:pos="9350"/>
      </w:tabs>
      <w:autoSpaceDE/>
      <w:autoSpaceDN/>
      <w:adjustRightInd/>
      <w:spacing w:after="240"/>
      <w:ind w:left="2700" w:hanging="720"/>
      <w:contextualSpacing/>
    </w:pPr>
    <w:rPr>
      <w:rFonts w:eastAsiaTheme="minorHAnsi" w:cstheme="minorBidi"/>
      <w:b/>
      <w:noProof/>
    </w:rPr>
  </w:style>
  <w:style w:type="paragraph" w:styleId="TOC5">
    <w:name w:val="toc 5"/>
    <w:basedOn w:val="Normal"/>
    <w:next w:val="Normal"/>
    <w:autoRedefine/>
    <w:uiPriority w:val="39"/>
    <w:unhideWhenUsed/>
    <w:qFormat/>
    <w:rsid w:val="002B6147"/>
    <w:pPr>
      <w:widowControl/>
      <w:tabs>
        <w:tab w:val="right" w:leader="dot" w:pos="9350"/>
      </w:tabs>
      <w:autoSpaceDE/>
      <w:autoSpaceDN/>
      <w:adjustRightInd/>
      <w:spacing w:after="240"/>
      <w:ind w:left="3240" w:hanging="720"/>
      <w:contextualSpacing/>
    </w:pPr>
    <w:rPr>
      <w:rFonts w:eastAsiaTheme="minorHAnsi" w:cstheme="minorBidi"/>
      <w:b/>
      <w:noProof/>
    </w:rPr>
  </w:style>
  <w:style w:type="paragraph" w:styleId="TOC6">
    <w:name w:val="toc 6"/>
    <w:basedOn w:val="Normal"/>
    <w:next w:val="Normal"/>
    <w:autoRedefine/>
    <w:uiPriority w:val="39"/>
    <w:unhideWhenUsed/>
    <w:rsid w:val="002B6147"/>
    <w:pPr>
      <w:widowControl/>
      <w:autoSpaceDE/>
      <w:autoSpaceDN/>
      <w:adjustRightInd/>
      <w:spacing w:after="100"/>
      <w:ind w:left="1200"/>
    </w:pPr>
    <w:rPr>
      <w:rFonts w:eastAsiaTheme="minorHAnsi" w:cstheme="minorBidi"/>
      <w:b/>
    </w:rPr>
  </w:style>
  <w:style w:type="paragraph" w:styleId="TOC7">
    <w:name w:val="toc 7"/>
    <w:basedOn w:val="Normal"/>
    <w:next w:val="Normal"/>
    <w:autoRedefine/>
    <w:uiPriority w:val="39"/>
    <w:unhideWhenUsed/>
    <w:rsid w:val="002B6147"/>
    <w:pPr>
      <w:widowControl/>
      <w:autoSpaceDE/>
      <w:autoSpaceDN/>
      <w:adjustRightInd/>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2B6147"/>
    <w:pPr>
      <w:widowControl/>
      <w:autoSpaceDE/>
      <w:autoSpaceDN/>
      <w:adjustRightInd/>
      <w:spacing w:after="100" w:line="276" w:lineRule="auto"/>
      <w:ind w:left="15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38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AED9E-BAE7-47E4-A200-77412D590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2740</Words>
  <Characters>15624</Characters>
  <Application>Microsoft Office Word</Application>
  <DocSecurity>4</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18328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pwilkov</dc:creator>
  <cp:lastModifiedBy>Roundtree-Williams, Keva</cp:lastModifiedBy>
  <cp:revision>2</cp:revision>
  <cp:lastPrinted>2016-03-21T16:52:00Z</cp:lastPrinted>
  <dcterms:created xsi:type="dcterms:W3CDTF">2016-03-29T20:13:00Z</dcterms:created>
  <dcterms:modified xsi:type="dcterms:W3CDTF">2016-03-29T20:13:00Z</dcterms:modified>
</cp:coreProperties>
</file>